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1C44" w14:textId="290436E0" w:rsidR="00F0310B" w:rsidRDefault="00F0310B" w:rsidP="00F40CCD">
      <w:pPr>
        <w:tabs>
          <w:tab w:val="left" w:pos="1275"/>
        </w:tabs>
      </w:pPr>
      <w:bookmarkStart w:id="0" w:name="_Toc172107424"/>
    </w:p>
    <w:sdt>
      <w:sdtPr>
        <w:rPr>
          <w:rFonts w:ascii="Century Gothic" w:eastAsiaTheme="minorEastAsia" w:hAnsi="Century Gothic" w:cstheme="minorBidi"/>
          <w:color w:val="auto"/>
          <w:sz w:val="20"/>
          <w:szCs w:val="20"/>
          <w:lang w:val="de-AT" w:eastAsia="en-US"/>
        </w:rPr>
        <w:id w:val="-706866433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1D48102" w14:textId="2ADAC3D7" w:rsidR="00F0310B" w:rsidRPr="00595305" w:rsidRDefault="00F0310B">
          <w:pPr>
            <w:pStyle w:val="Inhaltsverzeichnisberschrift"/>
            <w:rPr>
              <w:rFonts w:ascii="Century Gothic" w:hAnsi="Century Gothic"/>
              <w:b/>
              <w:bCs/>
              <w:color w:val="auto"/>
              <w:sz w:val="24"/>
              <w:szCs w:val="24"/>
            </w:rPr>
          </w:pPr>
          <w:r w:rsidRPr="00595305">
            <w:rPr>
              <w:rFonts w:ascii="Century Gothic" w:hAnsi="Century Gothic"/>
              <w:b/>
              <w:bCs/>
              <w:color w:val="auto"/>
              <w:sz w:val="24"/>
              <w:szCs w:val="24"/>
            </w:rPr>
            <w:t>Inhalt</w:t>
          </w:r>
        </w:p>
        <w:p w14:paraId="0E7D3C77" w14:textId="1784648B" w:rsidR="007E7160" w:rsidRPr="007E7160" w:rsidRDefault="00F0310B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r w:rsidRPr="00595305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595305">
            <w:rPr>
              <w:rFonts w:ascii="Century Gothic" w:hAnsi="Century Gothic"/>
              <w:sz w:val="20"/>
              <w:szCs w:val="20"/>
            </w:rPr>
            <w:instrText xml:space="preserve"> TOC \o "1-3" \h \z \u </w:instrText>
          </w:r>
          <w:r w:rsidRPr="00595305">
            <w:rPr>
              <w:rFonts w:ascii="Century Gothic" w:hAnsi="Century Gothic"/>
              <w:sz w:val="20"/>
              <w:szCs w:val="20"/>
            </w:rPr>
            <w:fldChar w:fldCharType="separate"/>
          </w:r>
          <w:hyperlink w:anchor="_Toc221514544" w:history="1">
            <w:r w:rsidR="007E7160"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</w:t>
            </w:r>
            <w:r w:rsidR="007E7160"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7E7160"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Allgemein</w:t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_Toc221514544 \h </w:instrText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1</w:t>
            </w:r>
            <w:r w:rsidR="007E7160"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854BF0" w14:textId="40DD54E1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5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Zweck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_Toc221514545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1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BF248F" w14:textId="65F6F995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6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Ziel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_Toc221514546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EA4ADA" w14:textId="5D17E23C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7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Mitgeltende Dokumente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_Toc221514547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468349" w14:textId="0C027911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8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1.4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Begriffe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_Toc221514548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274530" w14:textId="3A024B58" w:rsidR="007E7160" w:rsidRPr="007E7160" w:rsidRDefault="007E7160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9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Anforderungen an den Anlieferzustand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_Toc221514549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9608B9" w14:textId="7FF86356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0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Elektropolierte Rohre und Rohrleitungen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_Toc221514550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D96337" w14:textId="04F2068B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1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Sauberkeitsanforderungen (Life Science)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_Toc221514551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C03627" w14:textId="7929F6C9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2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Oberflächenanforderungen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_Toc221514552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EA7C11" w14:textId="02FBB2B9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3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2.4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Ventile, Armaturen und medienführende Komponenten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_Toc221514553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A6626F" w14:textId="6F90F8A3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4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2.5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Skids, Baugruppen und Module aus Edelstahl (gebürstete Oberflächen)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_Toc221514554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C1AF005" w14:textId="2A303940" w:rsidR="007E7160" w:rsidRPr="007E7160" w:rsidRDefault="007E7160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5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Verpackung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_Toc221514555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76FCC2" w14:textId="063D058F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6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Schutz vor Witterung und Umwelteinflüssen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_Toc221514556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CB6B93" w14:textId="3636A36F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7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Korrosionsschutz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_Toc221514557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EAE316" w14:textId="5688854B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8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3.3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Transportbedingte Schäden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_Toc221514558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16800F" w14:textId="00A6B71C" w:rsidR="007E7160" w:rsidRPr="007E7160" w:rsidRDefault="007E7160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9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Prüfung und Abweichungen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_Toc221514559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3B9AB6" w14:textId="15193D08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0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4.1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Abweichungen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_Toc221514560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AB1B1A" w14:textId="347DCBD7" w:rsidR="007E7160" w:rsidRPr="007E7160" w:rsidRDefault="007E7160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1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5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Verantwortung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_Toc221514561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3B65F9" w14:textId="346AC4A7" w:rsidR="007E7160" w:rsidRPr="007E7160" w:rsidRDefault="007E7160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2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6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Verbindlicher E-Mail-Betreff (Eingangsschlüssel)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_Toc221514562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C3DDC5" w14:textId="4DAD70C5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3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6.1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Bedeutung der Felder im Betreff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_Toc221514563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1FA004" w14:textId="5BCB6236" w:rsidR="007E7160" w:rsidRPr="007E7160" w:rsidRDefault="007E7160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4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6.2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Bauteil- und Komponentencodes (Auszug)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_Toc221514564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5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4A7DF0" w14:textId="6807FC77" w:rsidR="007E7160" w:rsidRPr="007E7160" w:rsidRDefault="007E7160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5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7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Gültigkeit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_Toc221514565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5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648532" w14:textId="6BCE3AC6" w:rsidR="00F0310B" w:rsidRPr="005D75BC" w:rsidRDefault="00F0310B" w:rsidP="00F0310B">
          <w:r w:rsidRPr="00595305">
            <w:rPr>
              <w:b/>
              <w:bCs/>
              <w:szCs w:val="20"/>
            </w:rPr>
            <w:fldChar w:fldCharType="end"/>
          </w:r>
        </w:p>
      </w:sdtContent>
    </w:sdt>
    <w:p w14:paraId="03C36A78" w14:textId="0219F35C" w:rsidR="008C1D72" w:rsidRPr="0072797E" w:rsidRDefault="00C5718A" w:rsidP="0072797E">
      <w:pPr>
        <w:pStyle w:val="berschrift1"/>
      </w:pPr>
      <w:bookmarkStart w:id="1" w:name="_Toc221514544"/>
      <w:r w:rsidRPr="0072797E">
        <w:t>Allgemein</w:t>
      </w:r>
      <w:bookmarkEnd w:id="0"/>
      <w:bookmarkEnd w:id="1"/>
    </w:p>
    <w:p w14:paraId="4BC84782" w14:textId="77777777" w:rsidR="00B76356" w:rsidRPr="00B76356" w:rsidRDefault="00B76356" w:rsidP="00B76356">
      <w:r>
        <w:t>Diese SMA beschreibt die verbindlichen Anforderungen an den Anlieferzustand, die Sauberkeit, den Oberflächenzustand, die Dokumentation sowie die BULK-/NON-BULK-Klassifizierung von Bauteilen im Anlagenbau.</w:t>
      </w:r>
    </w:p>
    <w:p w14:paraId="5D6C1C3E" w14:textId="77777777" w:rsidR="00B76356" w:rsidRDefault="00B76356" w:rsidP="00B76356">
      <w:r>
        <w:t>Sie ist Bestandteil des integrierten Managementsystems (IMS) der SMB.</w:t>
      </w:r>
    </w:p>
    <w:p w14:paraId="55211737" w14:textId="77777777" w:rsidR="008C1D72" w:rsidRPr="00B76356" w:rsidRDefault="008C1D72" w:rsidP="008C1D72">
      <w:pPr>
        <w:rPr>
          <w:szCs w:val="20"/>
          <w:lang w:val="de-DE"/>
        </w:rPr>
      </w:pPr>
    </w:p>
    <w:p w14:paraId="03801995" w14:textId="314D3759" w:rsidR="008C1D72" w:rsidRPr="00C65065" w:rsidRDefault="00C5718A" w:rsidP="00C5718A">
      <w:pPr>
        <w:pStyle w:val="berschrift2"/>
      </w:pPr>
      <w:bookmarkStart w:id="2" w:name="_Toc172107425"/>
      <w:bookmarkStart w:id="3" w:name="_Toc221514545"/>
      <w:r>
        <w:t>Zweck</w:t>
      </w:r>
      <w:bookmarkEnd w:id="2"/>
      <w:bookmarkEnd w:id="3"/>
    </w:p>
    <w:p w14:paraId="6DD000FB" w14:textId="77777777" w:rsidR="00B76356" w:rsidRDefault="00B76356" w:rsidP="00B76356">
      <w:r>
        <w:t>Zweck dieser Anweisung ist es,</w:t>
      </w:r>
    </w:p>
    <w:p w14:paraId="5FC282B6" w14:textId="77777777" w:rsidR="00B76356" w:rsidRDefault="00B76356" w:rsidP="00B76356">
      <w:r>
        <w:t>einheitliche und verbindliche Anforderungen an Lieferanten festzulegen,</w:t>
      </w:r>
    </w:p>
    <w:p w14:paraId="441D5EC0" w14:textId="77777777" w:rsidR="00B76356" w:rsidRDefault="00B76356" w:rsidP="00B76356">
      <w:r>
        <w:t>Qualitätsmängel bereits vor oder bei Anlieferung systematisch zu vermeiden,</w:t>
      </w:r>
    </w:p>
    <w:p w14:paraId="35C8D566" w14:textId="77777777" w:rsidR="00B76356" w:rsidRDefault="00B76356" w:rsidP="00B76356">
      <w:r>
        <w:t xml:space="preserve">die Einhaltung projektspezifischer, pharma- und </w:t>
      </w:r>
      <w:proofErr w:type="spellStart"/>
      <w:r>
        <w:t>life</w:t>
      </w:r>
      <w:proofErr w:type="spellEnd"/>
      <w:r>
        <w:t>-</w:t>
      </w:r>
      <w:proofErr w:type="spellStart"/>
      <w:r>
        <w:t>science</w:t>
      </w:r>
      <w:proofErr w:type="spellEnd"/>
      <w:r>
        <w:t>-relevanter Anforderungen sicherzustellen,</w:t>
      </w:r>
    </w:p>
    <w:p w14:paraId="74AF883D" w14:textId="77777777" w:rsidR="00B76356" w:rsidRDefault="00B76356" w:rsidP="00B76356">
      <w:r>
        <w:t>sowie eine klare Grundlage für Wareneingangsprüfung, Reklamationsmanagement und Lieferantensteuerung zu schaffen.</w:t>
      </w:r>
    </w:p>
    <w:p w14:paraId="7586B8C1" w14:textId="77777777" w:rsidR="008C1D72" w:rsidRPr="00B76356" w:rsidRDefault="008C1D72" w:rsidP="008C1D72">
      <w:pPr>
        <w:rPr>
          <w:szCs w:val="20"/>
        </w:rPr>
      </w:pPr>
    </w:p>
    <w:p w14:paraId="2D348ADB" w14:textId="5903084B" w:rsidR="00C5718A" w:rsidRPr="005D75BC" w:rsidRDefault="00C5718A" w:rsidP="008C1D72">
      <w:pPr>
        <w:pStyle w:val="berschrift2"/>
      </w:pPr>
      <w:bookmarkStart w:id="4" w:name="_Toc172107426"/>
      <w:bookmarkStart w:id="5" w:name="_Toc221514546"/>
      <w:r>
        <w:lastRenderedPageBreak/>
        <w:t>Ziel</w:t>
      </w:r>
      <w:bookmarkEnd w:id="4"/>
      <w:bookmarkEnd w:id="5"/>
    </w:p>
    <w:p w14:paraId="2E68A872" w14:textId="77777777" w:rsidR="00B76356" w:rsidRPr="00B76356" w:rsidRDefault="00B76356" w:rsidP="00B76356">
      <w:pPr>
        <w:rPr>
          <w:szCs w:val="20"/>
          <w:lang w:val="de-DE"/>
        </w:rPr>
      </w:pPr>
      <w:r w:rsidRPr="00B76356">
        <w:rPr>
          <w:szCs w:val="20"/>
          <w:lang w:val="de-DE"/>
        </w:rPr>
        <w:t>Ziel dieser Anweisung ist es, sicherzustellen, dass:</w:t>
      </w:r>
    </w:p>
    <w:p w14:paraId="0012F370" w14:textId="77777777" w:rsidR="00B76356" w:rsidRPr="00B76356" w:rsidRDefault="00B76356" w:rsidP="009B0071">
      <w:pPr>
        <w:numPr>
          <w:ilvl w:val="0"/>
          <w:numId w:val="2"/>
        </w:numPr>
        <w:rPr>
          <w:szCs w:val="20"/>
          <w:lang w:val="de-DE"/>
        </w:rPr>
      </w:pPr>
      <w:r w:rsidRPr="00B76356">
        <w:rPr>
          <w:szCs w:val="20"/>
          <w:lang w:val="de-DE"/>
        </w:rPr>
        <w:t>alle gelieferten Bauteile frei von Korrosion, Beschädigungen und Kontaminationen sind,</w:t>
      </w:r>
    </w:p>
    <w:p w14:paraId="7211B0E1" w14:textId="77777777" w:rsidR="00B76356" w:rsidRPr="00B76356" w:rsidRDefault="00B76356" w:rsidP="009B0071">
      <w:pPr>
        <w:numPr>
          <w:ilvl w:val="0"/>
          <w:numId w:val="2"/>
        </w:numPr>
        <w:rPr>
          <w:szCs w:val="20"/>
          <w:lang w:val="de-DE"/>
        </w:rPr>
      </w:pPr>
      <w:r w:rsidRPr="00B76356">
        <w:rPr>
          <w:szCs w:val="20"/>
          <w:lang w:val="de-DE"/>
        </w:rPr>
        <w:t>Oberflächen- und Sauberkeitsanforderungen eingehalten werden,</w:t>
      </w:r>
    </w:p>
    <w:p w14:paraId="2BBB937D" w14:textId="77777777" w:rsidR="00B76356" w:rsidRPr="00B76356" w:rsidRDefault="00B76356" w:rsidP="009B0071">
      <w:pPr>
        <w:numPr>
          <w:ilvl w:val="0"/>
          <w:numId w:val="2"/>
        </w:numPr>
        <w:rPr>
          <w:szCs w:val="20"/>
          <w:lang w:val="de-DE"/>
        </w:rPr>
      </w:pPr>
      <w:r w:rsidRPr="00B76356">
        <w:rPr>
          <w:szCs w:val="20"/>
          <w:lang w:val="de-DE"/>
        </w:rPr>
        <w:t>Verpackung und Transport keinen negativen Einfluss auf Qualität oder Funktion haben,</w:t>
      </w:r>
    </w:p>
    <w:p w14:paraId="5615EB50" w14:textId="77777777" w:rsidR="00B76356" w:rsidRPr="00B76356" w:rsidRDefault="00B76356" w:rsidP="009B0071">
      <w:pPr>
        <w:numPr>
          <w:ilvl w:val="0"/>
          <w:numId w:val="2"/>
        </w:numPr>
        <w:rPr>
          <w:szCs w:val="20"/>
          <w:lang w:val="de-DE"/>
        </w:rPr>
      </w:pPr>
      <w:r w:rsidRPr="00B76356">
        <w:rPr>
          <w:szCs w:val="20"/>
          <w:lang w:val="de-DE"/>
        </w:rPr>
        <w:t>die Qualitätsdokumentation vollständig, korrekt und maschinenlesbar übermittelt wird,</w:t>
      </w:r>
    </w:p>
    <w:p w14:paraId="21F15227" w14:textId="77777777" w:rsidR="00B76356" w:rsidRPr="00B76356" w:rsidRDefault="00B76356" w:rsidP="009B0071">
      <w:pPr>
        <w:numPr>
          <w:ilvl w:val="0"/>
          <w:numId w:val="2"/>
        </w:numPr>
        <w:rPr>
          <w:szCs w:val="20"/>
          <w:lang w:val="de-DE"/>
        </w:rPr>
      </w:pPr>
      <w:r w:rsidRPr="00B76356">
        <w:rPr>
          <w:szCs w:val="20"/>
          <w:lang w:val="de-DE"/>
        </w:rPr>
        <w:t>sowie eine eindeutige Zuordnung von Material, Bestellung, Position und Dokumentation gewährleistet ist.</w:t>
      </w:r>
    </w:p>
    <w:p w14:paraId="0F72B980" w14:textId="77777777" w:rsidR="00CD578E" w:rsidRPr="00B76356" w:rsidRDefault="00CD578E" w:rsidP="008C1D72">
      <w:pPr>
        <w:rPr>
          <w:szCs w:val="20"/>
          <w:lang w:val="de-DE"/>
        </w:rPr>
      </w:pPr>
    </w:p>
    <w:p w14:paraId="0B486CD5" w14:textId="74B3EA0D" w:rsidR="00CD578E" w:rsidRDefault="00CD578E" w:rsidP="00CD578E">
      <w:pPr>
        <w:pStyle w:val="berschrift2"/>
      </w:pPr>
      <w:bookmarkStart w:id="6" w:name="_Toc221514547"/>
      <w:r>
        <w:t>Mitgeltende Dokumente</w:t>
      </w:r>
      <w:bookmarkEnd w:id="6"/>
    </w:p>
    <w:p w14:paraId="22713DE5" w14:textId="77777777" w:rsidR="009B0071" w:rsidRPr="000A2745" w:rsidRDefault="009B0071" w:rsidP="009B0071">
      <w:pPr>
        <w:numPr>
          <w:ilvl w:val="0"/>
          <w:numId w:val="14"/>
        </w:numPr>
        <w:jc w:val="left"/>
      </w:pPr>
      <w:bookmarkStart w:id="7" w:name="_Toc172107428"/>
      <w:r w:rsidRPr="000A2745">
        <w:t>SAP-Standard-Bestelltext SMB</w:t>
      </w:r>
    </w:p>
    <w:p w14:paraId="6D60468A" w14:textId="77777777" w:rsidR="009B0071" w:rsidRDefault="009B0071" w:rsidP="009B0071">
      <w:pPr>
        <w:numPr>
          <w:ilvl w:val="0"/>
          <w:numId w:val="14"/>
        </w:numPr>
        <w:jc w:val="left"/>
      </w:pPr>
      <w:r w:rsidRPr="000A2745">
        <w:t>Zeichnungen und technische Spezifikationen</w:t>
      </w:r>
    </w:p>
    <w:p w14:paraId="3FBA5AED" w14:textId="45C60048" w:rsidR="00B76356" w:rsidRPr="009B0071" w:rsidRDefault="00FC066F" w:rsidP="00FC066F">
      <w:pPr>
        <w:numPr>
          <w:ilvl w:val="0"/>
          <w:numId w:val="14"/>
        </w:numPr>
        <w:jc w:val="left"/>
      </w:pPr>
      <w:r>
        <w:t>Projektspezifische Zusatzanforderungen</w:t>
      </w:r>
    </w:p>
    <w:p w14:paraId="6DA977FA" w14:textId="77777777" w:rsidR="00B76356" w:rsidRDefault="00B76356" w:rsidP="00CD578E">
      <w:pPr>
        <w:rPr>
          <w:szCs w:val="20"/>
          <w:lang w:val="en-US"/>
        </w:rPr>
      </w:pPr>
    </w:p>
    <w:p w14:paraId="789D7171" w14:textId="4B15FE93" w:rsidR="00B76356" w:rsidRPr="00B76356" w:rsidRDefault="00B76356" w:rsidP="006466D2">
      <w:pPr>
        <w:pStyle w:val="berschrift2"/>
      </w:pPr>
      <w:bookmarkStart w:id="8" w:name="_Toc221514548"/>
      <w:r w:rsidRPr="000A2745">
        <w:t>Begriffe</w:t>
      </w:r>
      <w:bookmarkEnd w:id="8"/>
    </w:p>
    <w:p w14:paraId="407FC1DF" w14:textId="77777777" w:rsidR="00B76356" w:rsidRPr="000A2745" w:rsidRDefault="00B76356" w:rsidP="009B0071">
      <w:pPr>
        <w:numPr>
          <w:ilvl w:val="0"/>
          <w:numId w:val="3"/>
        </w:numPr>
        <w:jc w:val="left"/>
      </w:pPr>
      <w:r w:rsidRPr="000A2745">
        <w:t>Life Science: Anwendungen mit erhöhten Anforderungen an Sauberkeit, Oberflächenqualität und Kontaminationsfreiheit (z.</w:t>
      </w:r>
      <w:r w:rsidRPr="000A2745">
        <w:rPr>
          <w:rFonts w:ascii="Arial" w:hAnsi="Arial" w:cs="Arial"/>
        </w:rPr>
        <w:t> </w:t>
      </w:r>
      <w:r w:rsidRPr="000A2745">
        <w:t xml:space="preserve">B. </w:t>
      </w:r>
      <w:proofErr w:type="spellStart"/>
      <w:r w:rsidRPr="000A2745">
        <w:t>Pharma</w:t>
      </w:r>
      <w:proofErr w:type="spellEnd"/>
      <w:r w:rsidRPr="000A2745">
        <w:t xml:space="preserve">, </w:t>
      </w:r>
      <w:proofErr w:type="spellStart"/>
      <w:r w:rsidRPr="000A2745">
        <w:t>Biotech</w:t>
      </w:r>
      <w:proofErr w:type="spellEnd"/>
      <w:r w:rsidRPr="000A2745">
        <w:t>).</w:t>
      </w:r>
    </w:p>
    <w:p w14:paraId="003D5498" w14:textId="77777777" w:rsidR="00B76356" w:rsidRPr="000A2745" w:rsidRDefault="00B76356" w:rsidP="009B0071">
      <w:pPr>
        <w:numPr>
          <w:ilvl w:val="0"/>
          <w:numId w:val="3"/>
        </w:numPr>
        <w:jc w:val="left"/>
      </w:pPr>
      <w:r w:rsidRPr="000A2745">
        <w:t>Optisch fehlerfrei: Frei von sichtbaren Beschädigungen, Korrosion oder Oberflächenfehlern.</w:t>
      </w:r>
    </w:p>
    <w:p w14:paraId="4BE2F0C2" w14:textId="77777777" w:rsidR="00B76356" w:rsidRPr="000A2745" w:rsidRDefault="00B76356" w:rsidP="009B0071">
      <w:pPr>
        <w:numPr>
          <w:ilvl w:val="0"/>
          <w:numId w:val="3"/>
        </w:numPr>
        <w:jc w:val="left"/>
      </w:pPr>
      <w:proofErr w:type="spellStart"/>
      <w:r w:rsidRPr="000A2745">
        <w:t>Rautiefe</w:t>
      </w:r>
      <w:proofErr w:type="spellEnd"/>
      <w:r w:rsidRPr="000A2745">
        <w:t xml:space="preserve"> (Ra): Mittlere Oberflächenrauheit gemäß Bestellung, Zeichnung oder Spezifikation.</w:t>
      </w:r>
    </w:p>
    <w:p w14:paraId="3620DD89" w14:textId="77777777" w:rsidR="00E8276C" w:rsidRPr="00B76356" w:rsidRDefault="00E8276C" w:rsidP="0072797E"/>
    <w:p w14:paraId="2B7C667F" w14:textId="7AA25A00" w:rsidR="00C65065" w:rsidRPr="00FC5EA7" w:rsidRDefault="00B76356" w:rsidP="00FC5EA7">
      <w:pPr>
        <w:pStyle w:val="berschrift1"/>
      </w:pPr>
      <w:bookmarkStart w:id="9" w:name="_Toc221514549"/>
      <w:bookmarkEnd w:id="7"/>
      <w:r w:rsidRPr="00B76356">
        <w:t>Anforderungen an den Anlieferzustand</w:t>
      </w:r>
      <w:bookmarkEnd w:id="9"/>
    </w:p>
    <w:p w14:paraId="35B26BBB" w14:textId="77777777" w:rsidR="006466D2" w:rsidRPr="000A2745" w:rsidRDefault="006466D2" w:rsidP="006466D2">
      <w:r w:rsidRPr="000A2745">
        <w:t>Alle Bauteile müssen anlagenbauspezifisch, sauber und optisch fehlerfrei angeliefert werden.</w:t>
      </w:r>
    </w:p>
    <w:p w14:paraId="18DBC0CC" w14:textId="77777777" w:rsidR="006466D2" w:rsidRPr="000A2745" w:rsidRDefault="006466D2" w:rsidP="006466D2">
      <w:r w:rsidRPr="000A2745">
        <w:t>Unzulässig sind insbesondere:</w:t>
      </w:r>
    </w:p>
    <w:p w14:paraId="4180201C" w14:textId="77777777" w:rsidR="006466D2" w:rsidRPr="000A2745" w:rsidRDefault="006466D2" w:rsidP="009B0071">
      <w:pPr>
        <w:numPr>
          <w:ilvl w:val="0"/>
          <w:numId w:val="4"/>
        </w:numPr>
        <w:jc w:val="left"/>
      </w:pPr>
      <w:r w:rsidRPr="000A2745">
        <w:t>Dellen, Kratzer, Kerben, Schleif- oder Scheuerspuren,</w:t>
      </w:r>
    </w:p>
    <w:p w14:paraId="6B5CAF61" w14:textId="77777777" w:rsidR="006466D2" w:rsidRPr="000A2745" w:rsidRDefault="006466D2" w:rsidP="009B0071">
      <w:pPr>
        <w:numPr>
          <w:ilvl w:val="0"/>
          <w:numId w:val="4"/>
        </w:numPr>
        <w:jc w:val="left"/>
      </w:pPr>
      <w:r w:rsidRPr="000A2745">
        <w:t>Korrosionsansätze oder Oxidationen,</w:t>
      </w:r>
    </w:p>
    <w:p w14:paraId="5DC11AF1" w14:textId="77777777" w:rsidR="006466D2" w:rsidRPr="000A2745" w:rsidRDefault="006466D2" w:rsidP="009B0071">
      <w:pPr>
        <w:numPr>
          <w:ilvl w:val="0"/>
          <w:numId w:val="4"/>
        </w:numPr>
        <w:jc w:val="left"/>
      </w:pPr>
      <w:r w:rsidRPr="000A2745">
        <w:t>Verschmutzungen aus Fertigung, Bearbeitung oder Reinigung.</w:t>
      </w:r>
    </w:p>
    <w:p w14:paraId="008D8907" w14:textId="77777777" w:rsidR="00C65065" w:rsidRPr="006466D2" w:rsidRDefault="00C65065" w:rsidP="00C65065">
      <w:pPr>
        <w:spacing w:after="60"/>
        <w:rPr>
          <w:rFonts w:cs="Arial"/>
          <w:szCs w:val="20"/>
        </w:rPr>
      </w:pPr>
    </w:p>
    <w:p w14:paraId="50CE8D1C" w14:textId="2BDA3BCB" w:rsidR="00C65065" w:rsidRPr="00FC5EA7" w:rsidRDefault="006466D2" w:rsidP="00EA1420">
      <w:pPr>
        <w:pStyle w:val="berschrift2"/>
      </w:pPr>
      <w:bookmarkStart w:id="10" w:name="_Toc221514550"/>
      <w:r w:rsidRPr="006466D2">
        <w:t>Elektropolierte Rohre und Rohrleitungen</w:t>
      </w:r>
      <w:bookmarkEnd w:id="10"/>
    </w:p>
    <w:p w14:paraId="79EB0A5E" w14:textId="77777777" w:rsidR="006466D2" w:rsidRPr="000A2745" w:rsidRDefault="006466D2" w:rsidP="006466D2">
      <w:r w:rsidRPr="000A2745">
        <w:t>Für elektropolierte Rohre und Rohrleitungen gilt:</w:t>
      </w:r>
    </w:p>
    <w:p w14:paraId="48F9B847" w14:textId="77777777" w:rsidR="006466D2" w:rsidRPr="000A2745" w:rsidRDefault="006466D2" w:rsidP="009B0071">
      <w:pPr>
        <w:numPr>
          <w:ilvl w:val="0"/>
          <w:numId w:val="5"/>
        </w:numPr>
        <w:jc w:val="left"/>
      </w:pPr>
      <w:r w:rsidRPr="000A2745">
        <w:t>Alle Rohrenden müssen dicht verschlossen sein (z.</w:t>
      </w:r>
      <w:r w:rsidRPr="000A2745">
        <w:rPr>
          <w:rFonts w:ascii="Arial" w:hAnsi="Arial" w:cs="Arial"/>
        </w:rPr>
        <w:t> </w:t>
      </w:r>
      <w:r w:rsidRPr="000A2745">
        <w:t>B. Kappen oder Stopfen).</w:t>
      </w:r>
    </w:p>
    <w:p w14:paraId="2F1F46A6" w14:textId="77777777" w:rsidR="006466D2" w:rsidRPr="000A2745" w:rsidRDefault="006466D2" w:rsidP="009B0071">
      <w:pPr>
        <w:numPr>
          <w:ilvl w:val="0"/>
          <w:numId w:val="5"/>
        </w:numPr>
        <w:jc w:val="left"/>
      </w:pPr>
      <w:r w:rsidRPr="000A2745">
        <w:t>Der Verschluss muss das Eindringen von Schmutz, Feuchtigkeit und Fremdstoffen zuverlässig verhindern.</w:t>
      </w:r>
    </w:p>
    <w:p w14:paraId="5DE61363" w14:textId="77777777" w:rsidR="006466D2" w:rsidRPr="000A2745" w:rsidRDefault="006466D2" w:rsidP="009B0071">
      <w:pPr>
        <w:numPr>
          <w:ilvl w:val="0"/>
          <w:numId w:val="5"/>
        </w:numPr>
        <w:jc w:val="left"/>
      </w:pPr>
      <w:r w:rsidRPr="000A2745">
        <w:t>Offene oder ungeschützte Rohrenden sind nicht zulässig.</w:t>
      </w:r>
    </w:p>
    <w:p w14:paraId="576F4278" w14:textId="77777777" w:rsidR="00660305" w:rsidRPr="005D75BC" w:rsidRDefault="00660305" w:rsidP="00660305">
      <w:pPr>
        <w:pStyle w:val="Listenabsatz"/>
        <w:tabs>
          <w:tab w:val="left" w:pos="567"/>
        </w:tabs>
        <w:ind w:left="1276"/>
        <w:rPr>
          <w:rFonts w:cs="Arial"/>
          <w:szCs w:val="20"/>
        </w:rPr>
      </w:pPr>
    </w:p>
    <w:p w14:paraId="0D55804E" w14:textId="4D5E292D" w:rsidR="006466D2" w:rsidRPr="000A2745" w:rsidRDefault="006466D2" w:rsidP="006466D2">
      <w:pPr>
        <w:pStyle w:val="berschrift2"/>
      </w:pPr>
      <w:bookmarkStart w:id="11" w:name="_Toc221514551"/>
      <w:r w:rsidRPr="000A2745">
        <w:t>Sauberkeitsanforderungen (Life Science)</w:t>
      </w:r>
      <w:bookmarkEnd w:id="11"/>
    </w:p>
    <w:p w14:paraId="2427EBD5" w14:textId="77777777" w:rsidR="006466D2" w:rsidRPr="000A2745" w:rsidRDefault="006466D2" w:rsidP="006466D2">
      <w:r w:rsidRPr="000A2745">
        <w:t>Für Life-Science- und qualitätskritische Anwendungen gilt:</w:t>
      </w:r>
    </w:p>
    <w:p w14:paraId="2A8F0666" w14:textId="77777777" w:rsidR="006466D2" w:rsidRPr="000A2745" w:rsidRDefault="006466D2" w:rsidP="006466D2">
      <w:r w:rsidRPr="000A2745">
        <w:t>Die Bauteile müssen frei sein von:</w:t>
      </w:r>
    </w:p>
    <w:p w14:paraId="4BF53D7D" w14:textId="77777777" w:rsidR="006466D2" w:rsidRPr="000A2745" w:rsidRDefault="006466D2" w:rsidP="009B0071">
      <w:pPr>
        <w:numPr>
          <w:ilvl w:val="0"/>
          <w:numId w:val="6"/>
        </w:numPr>
        <w:jc w:val="left"/>
      </w:pPr>
      <w:r w:rsidRPr="000A2745">
        <w:t>Öl, Fett,</w:t>
      </w:r>
    </w:p>
    <w:p w14:paraId="1A44B45C" w14:textId="77777777" w:rsidR="006466D2" w:rsidRPr="000A2745" w:rsidRDefault="006466D2" w:rsidP="009B0071">
      <w:pPr>
        <w:numPr>
          <w:ilvl w:val="0"/>
          <w:numId w:val="6"/>
        </w:numPr>
        <w:jc w:val="left"/>
      </w:pPr>
      <w:r w:rsidRPr="000A2745">
        <w:t>Spänen, Metallabrieb,</w:t>
      </w:r>
    </w:p>
    <w:p w14:paraId="58C7FFFE" w14:textId="77777777" w:rsidR="006466D2" w:rsidRPr="000A2745" w:rsidRDefault="006466D2" w:rsidP="009B0071">
      <w:pPr>
        <w:numPr>
          <w:ilvl w:val="0"/>
          <w:numId w:val="6"/>
        </w:numPr>
        <w:jc w:val="left"/>
      </w:pPr>
      <w:r w:rsidRPr="000A2745">
        <w:t>Staub, Partikeln,</w:t>
      </w:r>
    </w:p>
    <w:p w14:paraId="0BB4938F" w14:textId="77777777" w:rsidR="006466D2" w:rsidRPr="000A2745" w:rsidRDefault="006466D2" w:rsidP="009B0071">
      <w:pPr>
        <w:numPr>
          <w:ilvl w:val="0"/>
          <w:numId w:val="6"/>
        </w:numPr>
        <w:jc w:val="left"/>
      </w:pPr>
      <w:r w:rsidRPr="000A2745">
        <w:t>Reinigungs- oder Chemikalienrückständen,</w:t>
      </w:r>
    </w:p>
    <w:p w14:paraId="298D9816" w14:textId="77777777" w:rsidR="006466D2" w:rsidRPr="000A2745" w:rsidRDefault="006466D2" w:rsidP="009B0071">
      <w:pPr>
        <w:numPr>
          <w:ilvl w:val="0"/>
          <w:numId w:val="6"/>
        </w:numPr>
        <w:jc w:val="left"/>
      </w:pPr>
      <w:r w:rsidRPr="000A2745">
        <w:t>sonstigen Verunreinigungen.</w:t>
      </w:r>
    </w:p>
    <w:p w14:paraId="3810543E" w14:textId="77777777" w:rsidR="006466D2" w:rsidRPr="000A2745" w:rsidRDefault="006466D2" w:rsidP="006466D2">
      <w:r w:rsidRPr="000A2745">
        <w:t>Die Bauteile müssen für den Einsatz in Life-Science-, Pharma- oder Reinraumanwendungen geeignet sein.</w:t>
      </w:r>
    </w:p>
    <w:p w14:paraId="657C969A" w14:textId="77777777" w:rsidR="006466D2" w:rsidRPr="000A2745" w:rsidRDefault="006466D2" w:rsidP="006466D2"/>
    <w:p w14:paraId="1316A01A" w14:textId="55C4F1DC" w:rsidR="006466D2" w:rsidRPr="000A2745" w:rsidRDefault="006466D2" w:rsidP="006466D2">
      <w:pPr>
        <w:pStyle w:val="berschrift2"/>
      </w:pPr>
      <w:bookmarkStart w:id="12" w:name="_Toc221514552"/>
      <w:r w:rsidRPr="000A2745">
        <w:t>Oberflächenanforderungen</w:t>
      </w:r>
      <w:bookmarkEnd w:id="12"/>
    </w:p>
    <w:p w14:paraId="6608C44F" w14:textId="77777777" w:rsidR="006466D2" w:rsidRPr="000A2745" w:rsidRDefault="006466D2" w:rsidP="009B0071">
      <w:pPr>
        <w:numPr>
          <w:ilvl w:val="0"/>
          <w:numId w:val="7"/>
        </w:numPr>
        <w:jc w:val="left"/>
      </w:pPr>
      <w:r w:rsidRPr="000A2745">
        <w:t xml:space="preserve">Die geforderte Oberflächenqualität / </w:t>
      </w:r>
      <w:proofErr w:type="spellStart"/>
      <w:r w:rsidRPr="000A2745">
        <w:t>Rautiefe</w:t>
      </w:r>
      <w:proofErr w:type="spellEnd"/>
      <w:r w:rsidRPr="000A2745">
        <w:t xml:space="preserve"> (Ra-Werte) gemäß Bestellung, Zeichnung oder technischer Spezifikation ist verbindlich einzuhalten.</w:t>
      </w:r>
    </w:p>
    <w:p w14:paraId="7116D98D" w14:textId="78F2534B" w:rsidR="006466D2" w:rsidRPr="000A2745" w:rsidRDefault="006466D2" w:rsidP="006466D2">
      <w:pPr>
        <w:numPr>
          <w:ilvl w:val="0"/>
          <w:numId w:val="7"/>
        </w:numPr>
        <w:jc w:val="left"/>
      </w:pPr>
      <w:r w:rsidRPr="000A2745">
        <w:t>Unzulässig sind Kratzer, Pickel, Poren, Korrosionsansätze oder Oberflächenfehler, die Reinigung, Qualifizierung oder Funktion beeinträchtigen.</w:t>
      </w:r>
    </w:p>
    <w:p w14:paraId="14A4D71C" w14:textId="42C92956" w:rsidR="006466D2" w:rsidRPr="000A2745" w:rsidRDefault="006466D2" w:rsidP="006466D2">
      <w:pPr>
        <w:pStyle w:val="berschrift2"/>
      </w:pPr>
      <w:bookmarkStart w:id="13" w:name="_Toc221514553"/>
      <w:r w:rsidRPr="000A2745">
        <w:lastRenderedPageBreak/>
        <w:t>Ventile, Armaturen und medienführende Komponenten</w:t>
      </w:r>
      <w:bookmarkEnd w:id="13"/>
    </w:p>
    <w:p w14:paraId="12DCFB68" w14:textId="77777777" w:rsidR="006466D2" w:rsidRPr="000A2745" w:rsidRDefault="006466D2" w:rsidP="006466D2">
      <w:r w:rsidRPr="000A2745">
        <w:t xml:space="preserve">Ventile, Armaturen und vergleichbare medienführende Komponenten müssen funktionsfähig sowie montagebereit geliefert werden. Bei vormontierten Einheiten gelten die Anforderungen für die gesamte </w:t>
      </w:r>
    </w:p>
    <w:p w14:paraId="42A57B08" w14:textId="77777777" w:rsidR="006466D2" w:rsidRPr="000A2745" w:rsidRDefault="006466D2" w:rsidP="006466D2">
      <w:r w:rsidRPr="000A2745">
        <w:t>Baugruppe.</w:t>
      </w:r>
    </w:p>
    <w:p w14:paraId="616DA8DD" w14:textId="77777777" w:rsidR="006466D2" w:rsidRPr="000A2745" w:rsidRDefault="006466D2" w:rsidP="006466D2"/>
    <w:p w14:paraId="46F400A6" w14:textId="77777777" w:rsidR="006466D2" w:rsidRPr="000A2745" w:rsidRDefault="006466D2" w:rsidP="006466D2">
      <w:r w:rsidRPr="000A2745">
        <w:t>Zusätzlich sind folgende Punkte einzuhalten:</w:t>
      </w:r>
    </w:p>
    <w:p w14:paraId="19C9BC65" w14:textId="77777777" w:rsidR="006466D2" w:rsidRPr="000A2745" w:rsidRDefault="006466D2" w:rsidP="009B0071">
      <w:pPr>
        <w:pStyle w:val="Listenabsatz"/>
        <w:numPr>
          <w:ilvl w:val="0"/>
          <w:numId w:val="8"/>
        </w:numPr>
        <w:jc w:val="left"/>
      </w:pPr>
      <w:r w:rsidRPr="000A2745">
        <w:t>Innen- und Außenflächen müssen sauber angeliefert werden.</w:t>
      </w:r>
    </w:p>
    <w:p w14:paraId="6B4D2B3B" w14:textId="77777777" w:rsidR="006466D2" w:rsidRPr="000A2745" w:rsidRDefault="006466D2" w:rsidP="009B0071">
      <w:pPr>
        <w:pStyle w:val="Listenabsatz"/>
        <w:numPr>
          <w:ilvl w:val="0"/>
          <w:numId w:val="8"/>
        </w:numPr>
        <w:jc w:val="left"/>
      </w:pPr>
      <w:r w:rsidRPr="000A2745">
        <w:t>Alle medienberührten Öffnungen müssen dicht verschlossen sein.</w:t>
      </w:r>
    </w:p>
    <w:p w14:paraId="0A806DA6" w14:textId="77777777" w:rsidR="006466D2" w:rsidRPr="000A2745" w:rsidRDefault="006466D2" w:rsidP="009B0071">
      <w:pPr>
        <w:pStyle w:val="Listenabsatz"/>
        <w:numPr>
          <w:ilvl w:val="0"/>
          <w:numId w:val="8"/>
        </w:numPr>
        <w:jc w:val="left"/>
      </w:pPr>
      <w:r w:rsidRPr="000A2745">
        <w:t xml:space="preserve">Alle geforderten Oberflächenqualitäten (z. B. </w:t>
      </w:r>
      <w:proofErr w:type="spellStart"/>
      <w:r w:rsidRPr="000A2745">
        <w:t>Rautiefe</w:t>
      </w:r>
      <w:proofErr w:type="spellEnd"/>
      <w:r w:rsidRPr="000A2745">
        <w:t>) sind zwingend einzuhalten.</w:t>
      </w:r>
    </w:p>
    <w:p w14:paraId="7BFB2C7A" w14:textId="77777777" w:rsidR="006466D2" w:rsidRPr="000A2745" w:rsidRDefault="006466D2" w:rsidP="009B0071">
      <w:pPr>
        <w:pStyle w:val="Listenabsatz"/>
        <w:numPr>
          <w:ilvl w:val="0"/>
          <w:numId w:val="8"/>
        </w:numPr>
        <w:jc w:val="left"/>
      </w:pPr>
      <w:r w:rsidRPr="000A2745">
        <w:t>Bulk-Material: Serienbasierte, austauschbare Komponenten.</w:t>
      </w:r>
    </w:p>
    <w:p w14:paraId="6DE646D8" w14:textId="77777777" w:rsidR="006466D2" w:rsidRPr="000A2745" w:rsidRDefault="006466D2" w:rsidP="009B0071">
      <w:pPr>
        <w:pStyle w:val="Listenabsatz"/>
        <w:numPr>
          <w:ilvl w:val="0"/>
          <w:numId w:val="8"/>
        </w:numPr>
        <w:jc w:val="left"/>
      </w:pPr>
      <w:r w:rsidRPr="000A2745">
        <w:t>Non-Bulk-Material: Projektkritische, funktionsbezogene Komponenten mit erhöhter Dokumentationspflicht.</w:t>
      </w:r>
    </w:p>
    <w:p w14:paraId="3638B67E" w14:textId="77777777" w:rsidR="006466D2" w:rsidRPr="000A2745" w:rsidRDefault="006466D2" w:rsidP="006466D2">
      <w:pPr>
        <w:pStyle w:val="Listenabsatz"/>
      </w:pPr>
    </w:p>
    <w:p w14:paraId="6FF9FE85" w14:textId="75FEE84B" w:rsidR="006466D2" w:rsidRPr="000A2745" w:rsidRDefault="006466D2" w:rsidP="009B0071">
      <w:pPr>
        <w:pStyle w:val="berschrift2"/>
      </w:pPr>
      <w:bookmarkStart w:id="14" w:name="_Toc221514554"/>
      <w:proofErr w:type="spellStart"/>
      <w:r w:rsidRPr="000A2745">
        <w:t>Skids</w:t>
      </w:r>
      <w:proofErr w:type="spellEnd"/>
      <w:r w:rsidRPr="000A2745">
        <w:t>, Baugruppen und Module aus Edelstahl (gebürstete Oberflächen)</w:t>
      </w:r>
      <w:bookmarkEnd w:id="14"/>
    </w:p>
    <w:p w14:paraId="64A62A54" w14:textId="77777777" w:rsidR="006466D2" w:rsidRPr="000A2745" w:rsidRDefault="006466D2" w:rsidP="006466D2">
      <w:r w:rsidRPr="000A2745">
        <w:t xml:space="preserve">Für </w:t>
      </w:r>
      <w:proofErr w:type="spellStart"/>
      <w:r w:rsidRPr="000A2745">
        <w:t>Skids</w:t>
      </w:r>
      <w:proofErr w:type="spellEnd"/>
      <w:r w:rsidRPr="000A2745">
        <w:t>, Baugruppen und Module mit gebürsteten Edelstahloberflächen (z.</w:t>
      </w:r>
      <w:r w:rsidRPr="000A2745">
        <w:rPr>
          <w:rFonts w:ascii="Arial" w:hAnsi="Arial" w:cs="Arial"/>
        </w:rPr>
        <w:t> </w:t>
      </w:r>
      <w:r w:rsidRPr="000A2745">
        <w:t>B. AISI 304 / 316L) gilt:</w:t>
      </w:r>
    </w:p>
    <w:p w14:paraId="55B2B5A7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>Die Oberflächen müssen optisch einwandfrei angeliefert werden.</w:t>
      </w:r>
    </w:p>
    <w:p w14:paraId="43EF990A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>Kratzer, Schleifspuren, Druck- oder Scheuerstellen sind nicht zulässig.</w:t>
      </w:r>
    </w:p>
    <w:p w14:paraId="59CEF883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 xml:space="preserve">Der definierte </w:t>
      </w:r>
      <w:proofErr w:type="spellStart"/>
      <w:r w:rsidRPr="000A2745">
        <w:t>Bürstgrad</w:t>
      </w:r>
      <w:proofErr w:type="spellEnd"/>
      <w:r w:rsidRPr="000A2745">
        <w:t xml:space="preserve"> / Schliff muss gleichmäßig und unverändert erhalten bleiben.</w:t>
      </w:r>
    </w:p>
    <w:p w14:paraId="7420984C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>Oberflächen sind so zu schützen, dass während Transport, Umschlag und Lagerung keine Beschädigungen entstehen.</w:t>
      </w:r>
    </w:p>
    <w:p w14:paraId="217F8C3B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>Schutzfolien dürfen bei Anlieferung weder beschädigt noch entfernt sein.</w:t>
      </w:r>
    </w:p>
    <w:p w14:paraId="35336736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>Die Bewertung der Oberflächen erfolgt bei Tageslicht oder diffusem Licht.</w:t>
      </w:r>
    </w:p>
    <w:p w14:paraId="100B49CD" w14:textId="77777777" w:rsidR="006466D2" w:rsidRPr="000A2745" w:rsidRDefault="006466D2" w:rsidP="009B0071">
      <w:pPr>
        <w:numPr>
          <w:ilvl w:val="0"/>
          <w:numId w:val="9"/>
        </w:numPr>
        <w:jc w:val="left"/>
      </w:pPr>
      <w:r w:rsidRPr="000A2745">
        <w:t>Auch rein optische Abweichungen gelten im Pharma- / Life-Science-Bereich als Qualitätsmangel.</w:t>
      </w:r>
    </w:p>
    <w:p w14:paraId="42A82696" w14:textId="77777777" w:rsidR="002C533A" w:rsidRDefault="002C533A">
      <w:pPr>
        <w:rPr>
          <w:szCs w:val="20"/>
        </w:rPr>
      </w:pPr>
    </w:p>
    <w:p w14:paraId="6458E558" w14:textId="65732CB5" w:rsidR="006466D2" w:rsidRPr="000A2745" w:rsidRDefault="006466D2" w:rsidP="006466D2">
      <w:pPr>
        <w:pStyle w:val="berschrift1"/>
        <w:ind w:left="431" w:hanging="431"/>
      </w:pPr>
      <w:bookmarkStart w:id="15" w:name="_Toc221514555"/>
      <w:r w:rsidRPr="000A2745">
        <w:t>Verpackung</w:t>
      </w:r>
      <w:bookmarkEnd w:id="15"/>
    </w:p>
    <w:p w14:paraId="19FBA488" w14:textId="77777777" w:rsidR="006466D2" w:rsidRDefault="006466D2" w:rsidP="006466D2">
      <w:r w:rsidRPr="000A2745">
        <w:t>Verpackung und Transport sind so auszuführen, dass Korrosion, Kontamination und mechanische Beschädigungen unter allen üblichen Transportbedingungen ausgeschlossen sind, insbesondere bei winterlichen Straßenverhältnissen (Salznebel).</w:t>
      </w:r>
    </w:p>
    <w:p w14:paraId="6F6B01A2" w14:textId="77777777" w:rsidR="006466D2" w:rsidRDefault="006466D2" w:rsidP="006466D2"/>
    <w:p w14:paraId="3CC1E9F7" w14:textId="23D3FFC0" w:rsidR="006466D2" w:rsidRPr="000A2745" w:rsidRDefault="006466D2" w:rsidP="006466D2">
      <w:pPr>
        <w:pStyle w:val="berschrift2"/>
      </w:pPr>
      <w:bookmarkStart w:id="16" w:name="_Toc221514556"/>
      <w:r w:rsidRPr="000A2745">
        <w:t>Schutz vor Witterung und Umwelteinflüssen</w:t>
      </w:r>
      <w:bookmarkEnd w:id="16"/>
    </w:p>
    <w:p w14:paraId="76397C1F" w14:textId="77777777" w:rsidR="006466D2" w:rsidRPr="000A2745" w:rsidRDefault="006466D2" w:rsidP="009B0071">
      <w:pPr>
        <w:numPr>
          <w:ilvl w:val="0"/>
          <w:numId w:val="10"/>
        </w:numPr>
        <w:jc w:val="left"/>
      </w:pPr>
      <w:r w:rsidRPr="000A2745">
        <w:t xml:space="preserve">Bauteile, Baugruppen und </w:t>
      </w:r>
      <w:proofErr w:type="spellStart"/>
      <w:r w:rsidRPr="000A2745">
        <w:t>Skids</w:t>
      </w:r>
      <w:proofErr w:type="spellEnd"/>
      <w:r w:rsidRPr="000A2745">
        <w:t xml:space="preserve"> müssen vollständig gegen Witterungseinflüsse geschützt transportiert werden.</w:t>
      </w:r>
    </w:p>
    <w:p w14:paraId="165BB7D6" w14:textId="77777777" w:rsidR="006466D2" w:rsidRPr="000A2745" w:rsidRDefault="006466D2" w:rsidP="009B0071">
      <w:pPr>
        <w:numPr>
          <w:ilvl w:val="0"/>
          <w:numId w:val="10"/>
        </w:numPr>
        <w:jc w:val="left"/>
      </w:pPr>
      <w:r w:rsidRPr="000A2745">
        <w:t>Ein Transport ohne ausreichenden Wetterschutz (z. B. offener LKW ohne Plane oder geschlossenen Aufbau) ist nicht zulässig, sofern keine gleichwertige Schutzmaßnahme nachweislich sichergestellt ist.</w:t>
      </w:r>
    </w:p>
    <w:p w14:paraId="57A848E9" w14:textId="77777777" w:rsidR="006466D2" w:rsidRPr="000A2745" w:rsidRDefault="006466D2" w:rsidP="009B0071">
      <w:pPr>
        <w:numPr>
          <w:ilvl w:val="0"/>
          <w:numId w:val="10"/>
        </w:numPr>
        <w:jc w:val="left"/>
      </w:pPr>
      <w:r w:rsidRPr="000A2745">
        <w:t>Verpackungen müssen so ausgeführt sein, dass sich kein Wasser oder salzhaltige Flüssigkeit unter Schutzfolien sammeln kann.</w:t>
      </w:r>
    </w:p>
    <w:p w14:paraId="6E01E703" w14:textId="77777777" w:rsidR="006466D2" w:rsidRPr="000A2745" w:rsidRDefault="006466D2" w:rsidP="009B0071">
      <w:pPr>
        <w:numPr>
          <w:ilvl w:val="0"/>
          <w:numId w:val="10"/>
        </w:numPr>
        <w:jc w:val="left"/>
      </w:pPr>
      <w:r w:rsidRPr="000A2745">
        <w:t>Schutzfolien dürfen durch Fahrtwind oder Transportbewegungen nicht beschädigt oder gelöst werden.</w:t>
      </w:r>
    </w:p>
    <w:p w14:paraId="5A084C29" w14:textId="77777777" w:rsidR="006466D2" w:rsidRPr="000A2745" w:rsidRDefault="006466D2" w:rsidP="006466D2"/>
    <w:p w14:paraId="0B5E944B" w14:textId="0DD10272" w:rsidR="006466D2" w:rsidRPr="006466D2" w:rsidRDefault="006466D2" w:rsidP="006466D2">
      <w:pPr>
        <w:pStyle w:val="berschrift2"/>
      </w:pPr>
      <w:bookmarkStart w:id="17" w:name="_Toc221514557"/>
      <w:r w:rsidRPr="006466D2">
        <w:t>Korrosionsschutz</w:t>
      </w:r>
      <w:bookmarkEnd w:id="17"/>
    </w:p>
    <w:p w14:paraId="466BBB17" w14:textId="77777777" w:rsidR="006466D2" w:rsidRPr="000A2745" w:rsidRDefault="006466D2" w:rsidP="009B0071">
      <w:pPr>
        <w:numPr>
          <w:ilvl w:val="0"/>
          <w:numId w:val="11"/>
        </w:numPr>
        <w:jc w:val="left"/>
      </w:pPr>
      <w:r w:rsidRPr="000A2745">
        <w:t>Edelstahlbauteile müssen so geschützt sein, dass Kontakt mit salzhaltiger Feuchtigkeit ausgeschlossen ist.</w:t>
      </w:r>
    </w:p>
    <w:p w14:paraId="2DF543E3" w14:textId="77777777" w:rsidR="006466D2" w:rsidRDefault="006466D2" w:rsidP="009B0071">
      <w:pPr>
        <w:numPr>
          <w:ilvl w:val="0"/>
          <w:numId w:val="11"/>
        </w:numPr>
        <w:jc w:val="left"/>
      </w:pPr>
      <w:r w:rsidRPr="000A2745">
        <w:t>Erste Korrosionsansätze bei Anlieferung gelten als Qualitätsmangel.</w:t>
      </w:r>
    </w:p>
    <w:p w14:paraId="353A2FD6" w14:textId="77777777" w:rsidR="006466D2" w:rsidRPr="000A2745" w:rsidRDefault="006466D2" w:rsidP="006466D2">
      <w:pPr>
        <w:ind w:left="720"/>
      </w:pPr>
    </w:p>
    <w:p w14:paraId="1449EC74" w14:textId="77777777" w:rsidR="006466D2" w:rsidRPr="000A2745" w:rsidRDefault="006466D2" w:rsidP="006466D2"/>
    <w:p w14:paraId="7300CB18" w14:textId="73B571F5" w:rsidR="006466D2" w:rsidRPr="000A2745" w:rsidRDefault="006466D2" w:rsidP="006466D2">
      <w:pPr>
        <w:pStyle w:val="berschrift2"/>
      </w:pPr>
      <w:bookmarkStart w:id="18" w:name="_Toc221514558"/>
      <w:r w:rsidRPr="000A2745">
        <w:t>Transportbedingte Schäden</w:t>
      </w:r>
      <w:bookmarkEnd w:id="18"/>
    </w:p>
    <w:p w14:paraId="007C5753" w14:textId="77777777" w:rsidR="006466D2" w:rsidRPr="000A2745" w:rsidRDefault="006466D2" w:rsidP="009B0071">
      <w:pPr>
        <w:numPr>
          <w:ilvl w:val="0"/>
          <w:numId w:val="12"/>
        </w:numPr>
        <w:jc w:val="left"/>
      </w:pPr>
      <w:r w:rsidRPr="000A2745">
        <w:t>Verpackung und Ladungssicherung müssen so ausgeführt sein, dass:</w:t>
      </w:r>
    </w:p>
    <w:p w14:paraId="3D2ECB84" w14:textId="77777777" w:rsidR="006466D2" w:rsidRPr="000A2745" w:rsidRDefault="006466D2" w:rsidP="009B0071">
      <w:pPr>
        <w:numPr>
          <w:ilvl w:val="1"/>
          <w:numId w:val="12"/>
        </w:numPr>
        <w:jc w:val="left"/>
      </w:pPr>
      <w:r w:rsidRPr="000A2745">
        <w:t>keine Reibung,</w:t>
      </w:r>
    </w:p>
    <w:p w14:paraId="474261EB" w14:textId="77777777" w:rsidR="006466D2" w:rsidRPr="000A2745" w:rsidRDefault="006466D2" w:rsidP="009B0071">
      <w:pPr>
        <w:numPr>
          <w:ilvl w:val="1"/>
          <w:numId w:val="12"/>
        </w:numPr>
        <w:jc w:val="left"/>
      </w:pPr>
      <w:r w:rsidRPr="000A2745">
        <w:t>kein Scheuern,</w:t>
      </w:r>
    </w:p>
    <w:p w14:paraId="58B346F1" w14:textId="77777777" w:rsidR="006466D2" w:rsidRPr="000A2745" w:rsidRDefault="006466D2" w:rsidP="009B0071">
      <w:pPr>
        <w:numPr>
          <w:ilvl w:val="1"/>
          <w:numId w:val="12"/>
        </w:numPr>
        <w:jc w:val="left"/>
      </w:pPr>
      <w:r w:rsidRPr="000A2745">
        <w:lastRenderedPageBreak/>
        <w:t>keine punktuelle Belastung,</w:t>
      </w:r>
    </w:p>
    <w:p w14:paraId="70B56BD5" w14:textId="77777777" w:rsidR="006466D2" w:rsidRPr="000A2745" w:rsidRDefault="006466D2" w:rsidP="009B0071">
      <w:pPr>
        <w:numPr>
          <w:ilvl w:val="1"/>
          <w:numId w:val="12"/>
        </w:numPr>
        <w:jc w:val="left"/>
      </w:pPr>
      <w:r w:rsidRPr="000A2745">
        <w:t>keine Verformung</w:t>
      </w:r>
      <w:r w:rsidRPr="000A2745">
        <w:br/>
        <w:t>auftreten kann.</w:t>
      </w:r>
    </w:p>
    <w:p w14:paraId="7AF6B3E0" w14:textId="77777777" w:rsidR="006466D2" w:rsidRPr="000A2745" w:rsidRDefault="006466D2" w:rsidP="009B0071">
      <w:pPr>
        <w:numPr>
          <w:ilvl w:val="0"/>
          <w:numId w:val="12"/>
        </w:numPr>
        <w:jc w:val="left"/>
      </w:pPr>
      <w:r w:rsidRPr="000A2745">
        <w:t>Die Wahl des Transportmittels ist dem Lieferanten überlassen, sofern die Einhaltung dieser Anforderungen sichergestellt ist.</w:t>
      </w:r>
    </w:p>
    <w:p w14:paraId="655F8EFC" w14:textId="77777777" w:rsidR="006466D2" w:rsidRPr="000A2745" w:rsidRDefault="006466D2" w:rsidP="006466D2"/>
    <w:p w14:paraId="1DFD4812" w14:textId="77777777" w:rsidR="006466D2" w:rsidRPr="0061240C" w:rsidRDefault="006466D2" w:rsidP="006466D2">
      <w:r w:rsidRPr="0061240C">
        <w:t>Der Lieferant trägt die volle Verantwortung für:</w:t>
      </w:r>
    </w:p>
    <w:p w14:paraId="18C28AF2" w14:textId="77777777" w:rsidR="006466D2" w:rsidRPr="0061240C" w:rsidRDefault="006466D2" w:rsidP="009B0071">
      <w:pPr>
        <w:numPr>
          <w:ilvl w:val="0"/>
          <w:numId w:val="13"/>
        </w:numPr>
        <w:jc w:val="left"/>
      </w:pPr>
      <w:r w:rsidRPr="0061240C">
        <w:t>die fachgerechte Verpackung,</w:t>
      </w:r>
    </w:p>
    <w:p w14:paraId="7A59266D" w14:textId="77777777" w:rsidR="006466D2" w:rsidRPr="0061240C" w:rsidRDefault="006466D2" w:rsidP="009B0071">
      <w:pPr>
        <w:numPr>
          <w:ilvl w:val="0"/>
          <w:numId w:val="13"/>
        </w:numPr>
        <w:jc w:val="left"/>
      </w:pPr>
      <w:r w:rsidRPr="0061240C">
        <w:t>den geeigneten Transport,</w:t>
      </w:r>
    </w:p>
    <w:p w14:paraId="49240C7F" w14:textId="77777777" w:rsidR="006466D2" w:rsidRPr="0061240C" w:rsidRDefault="006466D2" w:rsidP="009B0071">
      <w:pPr>
        <w:numPr>
          <w:ilvl w:val="0"/>
          <w:numId w:val="13"/>
        </w:numPr>
        <w:jc w:val="left"/>
      </w:pPr>
      <w:r w:rsidRPr="0061240C">
        <w:t>den Schutz gegen Korrosion und Umwelteinflüsse,</w:t>
      </w:r>
    </w:p>
    <w:p w14:paraId="0700495E" w14:textId="77777777" w:rsidR="006466D2" w:rsidRPr="0061240C" w:rsidRDefault="006466D2" w:rsidP="009B0071">
      <w:pPr>
        <w:numPr>
          <w:ilvl w:val="0"/>
          <w:numId w:val="13"/>
        </w:numPr>
        <w:jc w:val="left"/>
      </w:pPr>
      <w:r w:rsidRPr="0061240C">
        <w:t>sowie die Einhaltung dieser Liefervorschrift</w:t>
      </w:r>
    </w:p>
    <w:p w14:paraId="310B5DD6" w14:textId="77777777" w:rsidR="006466D2" w:rsidRPr="0061240C" w:rsidRDefault="006466D2" w:rsidP="006466D2">
      <w:r w:rsidRPr="0061240C">
        <w:t xml:space="preserve">bis zum Gefahrenübergang gemäß dem in der Bestellung vereinbarten </w:t>
      </w:r>
      <w:proofErr w:type="spellStart"/>
      <w:r w:rsidRPr="0061240C">
        <w:t>Incoterm</w:t>
      </w:r>
      <w:proofErr w:type="spellEnd"/>
      <w:r w:rsidRPr="0061240C">
        <w:t xml:space="preserve"> (z. B. DAP, FCA, EXW o. ä.).</w:t>
      </w:r>
    </w:p>
    <w:p w14:paraId="1C1BA78C" w14:textId="77777777" w:rsidR="006466D2" w:rsidRPr="0061240C" w:rsidRDefault="006466D2" w:rsidP="006466D2">
      <w:r w:rsidRPr="0061240C">
        <w:t>Unabhängig vom Gefahrenübergang bleiben Mängel aufgrund mangelhafter Verpackung, unzureichendem Korrosionsschutz oder fehlerhafter Verarbeitung reklamationsfähig.</w:t>
      </w:r>
    </w:p>
    <w:p w14:paraId="35A30FC6" w14:textId="77777777" w:rsidR="006466D2" w:rsidRPr="000A2745" w:rsidRDefault="006466D2" w:rsidP="006466D2"/>
    <w:p w14:paraId="4CFB6B87" w14:textId="4A16D6AB" w:rsidR="006466D2" w:rsidRDefault="004B6AAA" w:rsidP="004B6AAA">
      <w:pPr>
        <w:pStyle w:val="berschrift1"/>
        <w:ind w:left="431" w:hanging="431"/>
      </w:pPr>
      <w:bookmarkStart w:id="19" w:name="_Toc221514559"/>
      <w:r w:rsidRPr="000A2745">
        <w:t>Prüfung und Abweichungen</w:t>
      </w:r>
      <w:bookmarkEnd w:id="19"/>
    </w:p>
    <w:p w14:paraId="5AC48B23" w14:textId="77777777" w:rsidR="004B6AAA" w:rsidRPr="000A2745" w:rsidRDefault="004B6AAA" w:rsidP="004B6AAA">
      <w:r w:rsidRPr="000A2745">
        <w:t>SMB ist berechtigt, bei Anlieferung Sicht-, Sauberkeits- und Oberflächenprüfungen durchzuführen sowie Verschlüsse, Schutzmaßnahmen und Oberflächenzustände zu bewerten.</w:t>
      </w:r>
    </w:p>
    <w:p w14:paraId="411AA677" w14:textId="56F7B332" w:rsidR="004B6AAA" w:rsidRPr="000A2745" w:rsidRDefault="004B6AAA" w:rsidP="004B6AAA">
      <w:pPr>
        <w:pStyle w:val="berschrift2"/>
      </w:pPr>
      <w:bookmarkStart w:id="20" w:name="_Toc221514560"/>
      <w:r w:rsidRPr="000A2745">
        <w:t>Abweichungen</w:t>
      </w:r>
      <w:bookmarkEnd w:id="20"/>
    </w:p>
    <w:p w14:paraId="3670FA86" w14:textId="77777777" w:rsidR="004B6AAA" w:rsidRPr="000A2745" w:rsidRDefault="004B6AAA" w:rsidP="004B6AAA">
      <w:r w:rsidRPr="000A2745">
        <w:t>Abweichungen von dieser Liefervorschrift führen zu einer Liefermangelmeldung (Reklamation).</w:t>
      </w:r>
    </w:p>
    <w:p w14:paraId="2747B19C" w14:textId="77777777" w:rsidR="004B6AAA" w:rsidRPr="000A2745" w:rsidRDefault="004B6AAA" w:rsidP="004B6AAA">
      <w:r w:rsidRPr="000A2745">
        <w:t xml:space="preserve">Bei Life-Science-relevanten Bauteilen, Ventilen oder </w:t>
      </w:r>
      <w:proofErr w:type="spellStart"/>
      <w:r w:rsidRPr="000A2745">
        <w:t>Skids</w:t>
      </w:r>
      <w:proofErr w:type="spellEnd"/>
      <w:r w:rsidRPr="000A2745">
        <w:t xml:space="preserve"> kann dies zusätzlich zur Zurückweisung der Lieferung oder zur Sperrung bis zur Klärung führen.</w:t>
      </w:r>
    </w:p>
    <w:p w14:paraId="551D2941" w14:textId="77777777" w:rsidR="004B6AAA" w:rsidRDefault="004B6AAA" w:rsidP="004B6AAA"/>
    <w:p w14:paraId="4EA76A6F" w14:textId="6D02F10B" w:rsidR="004B6AAA" w:rsidRPr="000A2745" w:rsidRDefault="004B6AAA" w:rsidP="004B6AAA">
      <w:pPr>
        <w:pStyle w:val="berschrift1"/>
        <w:ind w:left="431" w:hanging="431"/>
      </w:pPr>
      <w:bookmarkStart w:id="21" w:name="_Toc221514561"/>
      <w:r w:rsidRPr="000A2745">
        <w:t>Verantwortung</w:t>
      </w:r>
      <w:bookmarkEnd w:id="2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66"/>
        <w:gridCol w:w="66"/>
        <w:gridCol w:w="66"/>
        <w:gridCol w:w="66"/>
        <w:gridCol w:w="66"/>
        <w:gridCol w:w="4791"/>
      </w:tblGrid>
      <w:tr w:rsidR="004B6AAA" w:rsidRPr="000A2745" w14:paraId="5FD42255" w14:textId="77777777" w:rsidTr="00427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D2323" w14:textId="77777777" w:rsidR="004B6AAA" w:rsidRPr="000A2745" w:rsidRDefault="004B6AAA" w:rsidP="00427132">
            <w:r w:rsidRPr="000A2745">
              <w:t>Lieferant</w:t>
            </w:r>
          </w:p>
        </w:tc>
        <w:tc>
          <w:tcPr>
            <w:tcW w:w="0" w:type="auto"/>
          </w:tcPr>
          <w:p w14:paraId="1209B602" w14:textId="77777777" w:rsidR="004B6AAA" w:rsidRPr="000A2745" w:rsidRDefault="004B6AAA" w:rsidP="00427132"/>
        </w:tc>
        <w:tc>
          <w:tcPr>
            <w:tcW w:w="0" w:type="auto"/>
          </w:tcPr>
          <w:p w14:paraId="1998185C" w14:textId="77777777" w:rsidR="004B6AAA" w:rsidRPr="000A2745" w:rsidRDefault="004B6AAA" w:rsidP="00427132"/>
        </w:tc>
        <w:tc>
          <w:tcPr>
            <w:tcW w:w="0" w:type="auto"/>
          </w:tcPr>
          <w:p w14:paraId="7AEB4CA6" w14:textId="77777777" w:rsidR="004B6AAA" w:rsidRPr="000A2745" w:rsidRDefault="004B6AAA" w:rsidP="00427132"/>
        </w:tc>
        <w:tc>
          <w:tcPr>
            <w:tcW w:w="0" w:type="auto"/>
          </w:tcPr>
          <w:p w14:paraId="2FE8643B" w14:textId="77777777" w:rsidR="004B6AAA" w:rsidRPr="000A2745" w:rsidRDefault="004B6AAA" w:rsidP="00427132"/>
        </w:tc>
        <w:tc>
          <w:tcPr>
            <w:tcW w:w="0" w:type="auto"/>
          </w:tcPr>
          <w:p w14:paraId="015A02E1" w14:textId="77777777" w:rsidR="004B6AAA" w:rsidRPr="000A2745" w:rsidRDefault="004B6AAA" w:rsidP="00427132"/>
        </w:tc>
        <w:tc>
          <w:tcPr>
            <w:tcW w:w="0" w:type="auto"/>
            <w:vAlign w:val="center"/>
            <w:hideMark/>
          </w:tcPr>
          <w:p w14:paraId="752D243D" w14:textId="77777777" w:rsidR="004B6AAA" w:rsidRPr="000A2745" w:rsidRDefault="004B6AAA" w:rsidP="00427132">
            <w:r w:rsidRPr="000A2745">
              <w:t>Einhaltung dieser Liefervorschrift</w:t>
            </w:r>
          </w:p>
        </w:tc>
      </w:tr>
      <w:tr w:rsidR="004B6AAA" w:rsidRPr="000A2745" w14:paraId="1BD450CE" w14:textId="77777777" w:rsidTr="00427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60B17" w14:textId="77777777" w:rsidR="004B6AAA" w:rsidRPr="000A2745" w:rsidRDefault="004B6AAA" w:rsidP="00427132">
            <w:r w:rsidRPr="000A2745">
              <w:t>Einkauf SMB</w:t>
            </w:r>
          </w:p>
        </w:tc>
        <w:tc>
          <w:tcPr>
            <w:tcW w:w="0" w:type="auto"/>
          </w:tcPr>
          <w:p w14:paraId="7C5466FD" w14:textId="77777777" w:rsidR="004B6AAA" w:rsidRPr="000A2745" w:rsidRDefault="004B6AAA" w:rsidP="00427132"/>
        </w:tc>
        <w:tc>
          <w:tcPr>
            <w:tcW w:w="0" w:type="auto"/>
          </w:tcPr>
          <w:p w14:paraId="4CFFFEDB" w14:textId="77777777" w:rsidR="004B6AAA" w:rsidRPr="000A2745" w:rsidRDefault="004B6AAA" w:rsidP="00427132"/>
        </w:tc>
        <w:tc>
          <w:tcPr>
            <w:tcW w:w="0" w:type="auto"/>
          </w:tcPr>
          <w:p w14:paraId="13E0F6A5" w14:textId="77777777" w:rsidR="004B6AAA" w:rsidRPr="000A2745" w:rsidRDefault="004B6AAA" w:rsidP="00427132"/>
        </w:tc>
        <w:tc>
          <w:tcPr>
            <w:tcW w:w="0" w:type="auto"/>
          </w:tcPr>
          <w:p w14:paraId="3862DEAD" w14:textId="77777777" w:rsidR="004B6AAA" w:rsidRPr="000A2745" w:rsidRDefault="004B6AAA" w:rsidP="00427132"/>
        </w:tc>
        <w:tc>
          <w:tcPr>
            <w:tcW w:w="0" w:type="auto"/>
          </w:tcPr>
          <w:p w14:paraId="4405584E" w14:textId="77777777" w:rsidR="004B6AAA" w:rsidRPr="000A2745" w:rsidRDefault="004B6AAA" w:rsidP="00427132"/>
        </w:tc>
        <w:tc>
          <w:tcPr>
            <w:tcW w:w="0" w:type="auto"/>
            <w:vAlign w:val="center"/>
            <w:hideMark/>
          </w:tcPr>
          <w:p w14:paraId="1C1990CA" w14:textId="77777777" w:rsidR="004B6AAA" w:rsidRPr="000A2745" w:rsidRDefault="004B6AAA" w:rsidP="00427132">
            <w:r w:rsidRPr="000A2745">
              <w:t>Verankerung im SAP-Bestelltext, Reklamationen</w:t>
            </w:r>
          </w:p>
        </w:tc>
      </w:tr>
      <w:tr w:rsidR="004B6AAA" w:rsidRPr="000A2745" w14:paraId="1E45ADA2" w14:textId="77777777" w:rsidTr="00427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CA3E3" w14:textId="77777777" w:rsidR="004B6AAA" w:rsidRPr="000A2745" w:rsidRDefault="004B6AAA" w:rsidP="00427132">
            <w:r w:rsidRPr="000A2745">
              <w:t>QM / QS SMB</w:t>
            </w:r>
          </w:p>
        </w:tc>
        <w:tc>
          <w:tcPr>
            <w:tcW w:w="0" w:type="auto"/>
          </w:tcPr>
          <w:p w14:paraId="3A980605" w14:textId="77777777" w:rsidR="004B6AAA" w:rsidRPr="000A2745" w:rsidRDefault="004B6AAA" w:rsidP="00427132"/>
        </w:tc>
        <w:tc>
          <w:tcPr>
            <w:tcW w:w="0" w:type="auto"/>
          </w:tcPr>
          <w:p w14:paraId="752BBD63" w14:textId="77777777" w:rsidR="004B6AAA" w:rsidRPr="000A2745" w:rsidRDefault="004B6AAA" w:rsidP="00427132"/>
        </w:tc>
        <w:tc>
          <w:tcPr>
            <w:tcW w:w="0" w:type="auto"/>
          </w:tcPr>
          <w:p w14:paraId="2A0D7B6C" w14:textId="77777777" w:rsidR="004B6AAA" w:rsidRPr="000A2745" w:rsidRDefault="004B6AAA" w:rsidP="00427132"/>
        </w:tc>
        <w:tc>
          <w:tcPr>
            <w:tcW w:w="0" w:type="auto"/>
          </w:tcPr>
          <w:p w14:paraId="6244ACD5" w14:textId="77777777" w:rsidR="004B6AAA" w:rsidRPr="000A2745" w:rsidRDefault="004B6AAA" w:rsidP="00427132"/>
        </w:tc>
        <w:tc>
          <w:tcPr>
            <w:tcW w:w="0" w:type="auto"/>
          </w:tcPr>
          <w:p w14:paraId="7FA755F8" w14:textId="77777777" w:rsidR="004B6AAA" w:rsidRPr="000A2745" w:rsidRDefault="004B6AAA" w:rsidP="00427132"/>
        </w:tc>
        <w:tc>
          <w:tcPr>
            <w:tcW w:w="0" w:type="auto"/>
            <w:vAlign w:val="center"/>
            <w:hideMark/>
          </w:tcPr>
          <w:p w14:paraId="519A0F31" w14:textId="77777777" w:rsidR="004B6AAA" w:rsidRPr="000A2745" w:rsidRDefault="004B6AAA" w:rsidP="00427132">
            <w:r w:rsidRPr="000A2745">
              <w:t>Prüfung, Bewertung,</w:t>
            </w:r>
          </w:p>
        </w:tc>
      </w:tr>
      <w:tr w:rsidR="004B6AAA" w:rsidRPr="000A2745" w14:paraId="07BD69F5" w14:textId="77777777" w:rsidTr="00427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E9BA" w14:textId="77777777" w:rsidR="004B6AAA" w:rsidRPr="000A2745" w:rsidRDefault="004B6AAA" w:rsidP="00427132">
            <w:r w:rsidRPr="000A2745">
              <w:t>Projekt / Baustelle</w:t>
            </w:r>
          </w:p>
        </w:tc>
        <w:tc>
          <w:tcPr>
            <w:tcW w:w="0" w:type="auto"/>
          </w:tcPr>
          <w:p w14:paraId="406D8885" w14:textId="77777777" w:rsidR="004B6AAA" w:rsidRPr="000A2745" w:rsidRDefault="004B6AAA" w:rsidP="00427132"/>
        </w:tc>
        <w:tc>
          <w:tcPr>
            <w:tcW w:w="0" w:type="auto"/>
          </w:tcPr>
          <w:p w14:paraId="451B2B36" w14:textId="77777777" w:rsidR="004B6AAA" w:rsidRPr="000A2745" w:rsidRDefault="004B6AAA" w:rsidP="00427132"/>
        </w:tc>
        <w:tc>
          <w:tcPr>
            <w:tcW w:w="0" w:type="auto"/>
          </w:tcPr>
          <w:p w14:paraId="3E5588BD" w14:textId="77777777" w:rsidR="004B6AAA" w:rsidRPr="000A2745" w:rsidRDefault="004B6AAA" w:rsidP="00427132"/>
        </w:tc>
        <w:tc>
          <w:tcPr>
            <w:tcW w:w="0" w:type="auto"/>
          </w:tcPr>
          <w:p w14:paraId="726B977E" w14:textId="77777777" w:rsidR="004B6AAA" w:rsidRPr="000A2745" w:rsidRDefault="004B6AAA" w:rsidP="00427132"/>
        </w:tc>
        <w:tc>
          <w:tcPr>
            <w:tcW w:w="0" w:type="auto"/>
          </w:tcPr>
          <w:p w14:paraId="249FBF00" w14:textId="77777777" w:rsidR="004B6AAA" w:rsidRPr="000A2745" w:rsidRDefault="004B6AAA" w:rsidP="00427132"/>
        </w:tc>
        <w:tc>
          <w:tcPr>
            <w:tcW w:w="0" w:type="auto"/>
            <w:vAlign w:val="center"/>
            <w:hideMark/>
          </w:tcPr>
          <w:p w14:paraId="1F6F3127" w14:textId="77777777" w:rsidR="004B6AAA" w:rsidRPr="000A2745" w:rsidRDefault="004B6AAA" w:rsidP="00427132">
            <w:r w:rsidRPr="000A2745">
              <w:t>Rückmeldung projektspezifischer Abweichungen</w:t>
            </w:r>
          </w:p>
        </w:tc>
      </w:tr>
    </w:tbl>
    <w:p w14:paraId="79BC7A29" w14:textId="77777777" w:rsidR="004B6AAA" w:rsidRDefault="004B6AAA" w:rsidP="004B6AAA"/>
    <w:p w14:paraId="552C646A" w14:textId="6409D297" w:rsidR="004B6AAA" w:rsidRPr="000A2745" w:rsidRDefault="004B6AAA" w:rsidP="004B6AAA">
      <w:pPr>
        <w:pStyle w:val="berschrift1"/>
        <w:ind w:left="431" w:hanging="431"/>
      </w:pPr>
      <w:bookmarkStart w:id="22" w:name="_Toc221514562"/>
      <w:r w:rsidRPr="000A2745">
        <w:t xml:space="preserve">Verbindlicher E-Mail-Betreff </w:t>
      </w:r>
      <w:r w:rsidR="00CE7292">
        <w:t xml:space="preserve">für die </w:t>
      </w:r>
      <w:r w:rsidR="00CE7292" w:rsidRPr="00CE7292">
        <w:rPr>
          <w:lang w:val="de-AT"/>
        </w:rPr>
        <w:t>Enddokumentation</w:t>
      </w:r>
      <w:bookmarkEnd w:id="22"/>
    </w:p>
    <w:p w14:paraId="23152255" w14:textId="77777777" w:rsidR="004B6AAA" w:rsidRPr="000A2745" w:rsidRDefault="004B6AAA" w:rsidP="004B6AAA">
      <w:r w:rsidRPr="000A2745">
        <w:t>Der E-Mail-Betreff ist verpflichtend als eindeutiger, maschinenlesbarer Eingangsschlüssel zu verwenden.</w:t>
      </w:r>
    </w:p>
    <w:p w14:paraId="7CD2D8F6" w14:textId="67303580" w:rsidR="004B6AAA" w:rsidRPr="000A2745" w:rsidRDefault="004B6AAA" w:rsidP="009B0071">
      <w:pPr>
        <w:jc w:val="left"/>
      </w:pPr>
      <w:r w:rsidRPr="000A2745">
        <w:t>Verbindliche</w:t>
      </w:r>
      <w:r w:rsidR="009B0071">
        <w:t xml:space="preserve">s </w:t>
      </w:r>
      <w:r w:rsidRPr="000A2745">
        <w:t>Betreff-Schema:</w:t>
      </w:r>
      <w:r w:rsidRPr="000A2745">
        <w:br/>
        <w:t>MATNR_BESTNR_POSNR_CODE_DOCTYPE_CHARGENNR</w:t>
      </w:r>
    </w:p>
    <w:p w14:paraId="37424614" w14:textId="477CB76B" w:rsidR="004B6AAA" w:rsidRPr="000A2745" w:rsidRDefault="004B6AAA" w:rsidP="004B6AAA">
      <w:r w:rsidRPr="000A2745">
        <w:t>Beispiel:</w:t>
      </w:r>
      <w:r w:rsidRPr="000A2745">
        <w:br/>
        <w:t>4711_4500123456_0010_BRO_31_H12345</w:t>
      </w:r>
    </w:p>
    <w:p w14:paraId="04873ECB" w14:textId="77777777" w:rsidR="004B6AAA" w:rsidRPr="000A2745" w:rsidRDefault="004B6AAA" w:rsidP="004B6AAA">
      <w:r w:rsidRPr="000A2745">
        <w:t>Abweichungen vom Betreff-Schema führen zur Nichtzuordnung der Dokumentation und gelten als nicht ordnungsgemäß übermittelt.</w:t>
      </w:r>
    </w:p>
    <w:p w14:paraId="538096D6" w14:textId="77777777" w:rsidR="004B6AAA" w:rsidRPr="000A2745" w:rsidRDefault="004B6AAA" w:rsidP="004B6AAA"/>
    <w:p w14:paraId="07276637" w14:textId="3E906C0D" w:rsidR="004B6AAA" w:rsidRPr="000A2745" w:rsidRDefault="004B6AAA" w:rsidP="004B6AAA">
      <w:pPr>
        <w:pStyle w:val="berschrift2"/>
      </w:pPr>
      <w:bookmarkStart w:id="23" w:name="_Toc221514563"/>
      <w:r w:rsidRPr="000A2745">
        <w:t>Bedeutung der Felder im Betreff</w:t>
      </w:r>
      <w:bookmarkEnd w:id="2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285"/>
      </w:tblGrid>
      <w:tr w:rsidR="004B6AAA" w:rsidRPr="000A2745" w14:paraId="31D39A63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D88F0A0" w14:textId="77777777" w:rsidR="004B6AAA" w:rsidRPr="000A2745" w:rsidRDefault="004B6AAA" w:rsidP="00427132">
            <w:r w:rsidRPr="000A2745">
              <w:t>Feld</w:t>
            </w:r>
          </w:p>
        </w:tc>
        <w:tc>
          <w:tcPr>
            <w:tcW w:w="5240" w:type="dxa"/>
            <w:vAlign w:val="center"/>
            <w:hideMark/>
          </w:tcPr>
          <w:p w14:paraId="5983D6C8" w14:textId="77777777" w:rsidR="004B6AAA" w:rsidRPr="000A2745" w:rsidRDefault="004B6AAA" w:rsidP="00427132">
            <w:r w:rsidRPr="000A2745">
              <w:t>Bedeutung</w:t>
            </w:r>
          </w:p>
        </w:tc>
      </w:tr>
      <w:tr w:rsidR="004B6AAA" w:rsidRPr="000A2745" w14:paraId="5838A0D8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DD698BD" w14:textId="77777777" w:rsidR="004B6AAA" w:rsidRPr="000A2745" w:rsidRDefault="004B6AAA" w:rsidP="00427132">
            <w:r w:rsidRPr="000A2745">
              <w:t>MATNR</w:t>
            </w:r>
          </w:p>
        </w:tc>
        <w:tc>
          <w:tcPr>
            <w:tcW w:w="5240" w:type="dxa"/>
            <w:vAlign w:val="center"/>
            <w:hideMark/>
          </w:tcPr>
          <w:p w14:paraId="4CAE5D28" w14:textId="77777777" w:rsidR="004B6AAA" w:rsidRPr="000A2745" w:rsidRDefault="004B6AAA" w:rsidP="00427132">
            <w:r w:rsidRPr="000A2745">
              <w:t>Materialnummer gemäß Bestellung</w:t>
            </w:r>
          </w:p>
        </w:tc>
      </w:tr>
      <w:tr w:rsidR="004B6AAA" w:rsidRPr="000A2745" w14:paraId="2B91690A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F7F6C18" w14:textId="77777777" w:rsidR="004B6AAA" w:rsidRPr="000A2745" w:rsidRDefault="004B6AAA" w:rsidP="00427132">
            <w:r w:rsidRPr="000A2745">
              <w:t>BESTNR</w:t>
            </w:r>
          </w:p>
        </w:tc>
        <w:tc>
          <w:tcPr>
            <w:tcW w:w="5240" w:type="dxa"/>
            <w:vAlign w:val="center"/>
            <w:hideMark/>
          </w:tcPr>
          <w:p w14:paraId="26627E3B" w14:textId="77777777" w:rsidR="004B6AAA" w:rsidRPr="000A2745" w:rsidRDefault="004B6AAA" w:rsidP="00427132">
            <w:r w:rsidRPr="000A2745">
              <w:t>SAP-Bestellnummer</w:t>
            </w:r>
          </w:p>
        </w:tc>
      </w:tr>
      <w:tr w:rsidR="004B6AAA" w:rsidRPr="000A2745" w14:paraId="7941B970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47762AD" w14:textId="77777777" w:rsidR="004B6AAA" w:rsidRPr="000A2745" w:rsidRDefault="004B6AAA" w:rsidP="00427132">
            <w:r w:rsidRPr="000A2745">
              <w:t>POSNR</w:t>
            </w:r>
          </w:p>
        </w:tc>
        <w:tc>
          <w:tcPr>
            <w:tcW w:w="5240" w:type="dxa"/>
            <w:vAlign w:val="center"/>
            <w:hideMark/>
          </w:tcPr>
          <w:p w14:paraId="7311499B" w14:textId="77777777" w:rsidR="004B6AAA" w:rsidRPr="000A2745" w:rsidRDefault="004B6AAA" w:rsidP="00427132">
            <w:r w:rsidRPr="000A2745">
              <w:t>Positionsnummer der Bestellung</w:t>
            </w:r>
          </w:p>
        </w:tc>
      </w:tr>
      <w:tr w:rsidR="004B6AAA" w:rsidRPr="000A2745" w14:paraId="6077A463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697400E2" w14:textId="77777777" w:rsidR="004B6AAA" w:rsidRPr="000A2745" w:rsidRDefault="004B6AAA" w:rsidP="00427132">
            <w:r w:rsidRPr="000A2745">
              <w:t>CODE</w:t>
            </w:r>
          </w:p>
        </w:tc>
        <w:tc>
          <w:tcPr>
            <w:tcW w:w="5240" w:type="dxa"/>
            <w:vAlign w:val="center"/>
            <w:hideMark/>
          </w:tcPr>
          <w:p w14:paraId="2252E067" w14:textId="77777777" w:rsidR="004B6AAA" w:rsidRPr="000A2745" w:rsidRDefault="004B6AAA" w:rsidP="00427132">
            <w:r w:rsidRPr="000A2745">
              <w:t>Bauteil-/Komponentencode gemäß Abschnitt 8.4</w:t>
            </w:r>
          </w:p>
        </w:tc>
      </w:tr>
      <w:tr w:rsidR="004B6AAA" w:rsidRPr="000A2745" w14:paraId="77C4BCB5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68EA430D" w14:textId="77777777" w:rsidR="004B6AAA" w:rsidRPr="000A2745" w:rsidRDefault="004B6AAA" w:rsidP="00427132">
            <w:r w:rsidRPr="000A2745">
              <w:t>DOCTYPE</w:t>
            </w:r>
          </w:p>
        </w:tc>
        <w:tc>
          <w:tcPr>
            <w:tcW w:w="5240" w:type="dxa"/>
            <w:vAlign w:val="center"/>
            <w:hideMark/>
          </w:tcPr>
          <w:p w14:paraId="7E1B48CC" w14:textId="77777777" w:rsidR="004B6AAA" w:rsidRPr="000A2745" w:rsidRDefault="004B6AAA" w:rsidP="00427132">
            <w:r w:rsidRPr="000A2745">
              <w:t>Dokumentenart (z. B. 31 = Werkszeugnis 3.1)</w:t>
            </w:r>
          </w:p>
        </w:tc>
      </w:tr>
      <w:tr w:rsidR="004B6AAA" w:rsidRPr="000A2745" w14:paraId="0656AF6B" w14:textId="77777777" w:rsidTr="00427132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1885CAC" w14:textId="77777777" w:rsidR="004B6AAA" w:rsidRPr="000A2745" w:rsidRDefault="004B6AAA" w:rsidP="00427132">
            <w:r w:rsidRPr="000A2745">
              <w:t>CHARGENNR</w:t>
            </w:r>
          </w:p>
        </w:tc>
        <w:tc>
          <w:tcPr>
            <w:tcW w:w="5240" w:type="dxa"/>
            <w:vAlign w:val="center"/>
            <w:hideMark/>
          </w:tcPr>
          <w:p w14:paraId="77580221" w14:textId="77777777" w:rsidR="004B6AAA" w:rsidRPr="000A2745" w:rsidRDefault="004B6AAA" w:rsidP="00427132">
            <w:r w:rsidRPr="000A2745">
              <w:t>Heat, Chargen- oder Losnummer</w:t>
            </w:r>
          </w:p>
        </w:tc>
      </w:tr>
    </w:tbl>
    <w:p w14:paraId="406A7563" w14:textId="77777777" w:rsidR="004B6AAA" w:rsidRPr="000A2745" w:rsidRDefault="004B6AAA" w:rsidP="004B6AAA"/>
    <w:p w14:paraId="4F262D0F" w14:textId="187FF4F9" w:rsidR="004B6AAA" w:rsidRPr="000A2745" w:rsidRDefault="004B6AAA" w:rsidP="009B0071">
      <w:pPr>
        <w:pStyle w:val="berschrift2"/>
      </w:pPr>
      <w:bookmarkStart w:id="24" w:name="_Toc221514564"/>
      <w:r w:rsidRPr="000A2745">
        <w:t>Bauteil- und Komponentencodes (Auszug)</w:t>
      </w:r>
      <w:bookmarkEnd w:id="24"/>
    </w:p>
    <w:p w14:paraId="63838470" w14:textId="029DAC16" w:rsidR="009B0071" w:rsidRPr="000A2745" w:rsidRDefault="004B6AAA" w:rsidP="004B6AAA">
      <w:r w:rsidRPr="000A2745">
        <w:t>Die folgenden Codes sind für den E-Mail-Betreff verbindlich zu verwenden:</w:t>
      </w:r>
    </w:p>
    <w:p w14:paraId="74EF757B" w14:textId="77777777" w:rsidR="004B6AAA" w:rsidRPr="009B0071" w:rsidRDefault="004B6AAA" w:rsidP="004B6AAA">
      <w:pPr>
        <w:rPr>
          <w:b/>
          <w:bCs/>
        </w:rPr>
      </w:pPr>
      <w:r w:rsidRPr="009B0071">
        <w:rPr>
          <w:b/>
          <w:bCs/>
        </w:rPr>
        <w:t>A. BULK-CODES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792"/>
      </w:tblGrid>
      <w:tr w:rsidR="004B6AAA" w:rsidRPr="000A2745" w14:paraId="67308482" w14:textId="77777777" w:rsidTr="00142E92">
        <w:tc>
          <w:tcPr>
            <w:tcW w:w="3359" w:type="dxa"/>
          </w:tcPr>
          <w:p w14:paraId="217AF86E" w14:textId="77777777" w:rsidR="004B6AAA" w:rsidRPr="009B0071" w:rsidRDefault="004B6AAA" w:rsidP="00427132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Code</w:t>
            </w:r>
          </w:p>
        </w:tc>
        <w:tc>
          <w:tcPr>
            <w:tcW w:w="3792" w:type="dxa"/>
          </w:tcPr>
          <w:p w14:paraId="05995A79" w14:textId="77777777" w:rsidR="004B6AAA" w:rsidRPr="009B0071" w:rsidRDefault="004B6AAA" w:rsidP="00427132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Bauteil</w:t>
            </w:r>
          </w:p>
        </w:tc>
      </w:tr>
      <w:tr w:rsidR="004B6AAA" w:rsidRPr="000A2745" w14:paraId="17CB60DD" w14:textId="77777777" w:rsidTr="00142E92">
        <w:tc>
          <w:tcPr>
            <w:tcW w:w="3359" w:type="dxa"/>
          </w:tcPr>
          <w:p w14:paraId="4B58640A" w14:textId="77777777" w:rsidR="004B6AAA" w:rsidRPr="000A2745" w:rsidRDefault="004B6AAA" w:rsidP="00427132">
            <w:r w:rsidRPr="000A2745">
              <w:t>BRO</w:t>
            </w:r>
          </w:p>
        </w:tc>
        <w:tc>
          <w:tcPr>
            <w:tcW w:w="3792" w:type="dxa"/>
          </w:tcPr>
          <w:p w14:paraId="1902B44B" w14:textId="77777777" w:rsidR="004B6AAA" w:rsidRPr="000A2745" w:rsidRDefault="004B6AAA" w:rsidP="00427132">
            <w:r w:rsidRPr="000A2745">
              <w:t>Rohr</w:t>
            </w:r>
          </w:p>
        </w:tc>
      </w:tr>
      <w:tr w:rsidR="004B6AAA" w:rsidRPr="000A2745" w14:paraId="3E1C2C23" w14:textId="77777777" w:rsidTr="00142E92">
        <w:tc>
          <w:tcPr>
            <w:tcW w:w="3359" w:type="dxa"/>
          </w:tcPr>
          <w:p w14:paraId="704FB9ED" w14:textId="77777777" w:rsidR="004B6AAA" w:rsidRPr="000A2745" w:rsidRDefault="004B6AAA" w:rsidP="00427132">
            <w:r w:rsidRPr="000A2745">
              <w:t>BBO</w:t>
            </w:r>
          </w:p>
        </w:tc>
        <w:tc>
          <w:tcPr>
            <w:tcW w:w="3792" w:type="dxa"/>
          </w:tcPr>
          <w:p w14:paraId="3D9CA96A" w14:textId="77777777" w:rsidR="004B6AAA" w:rsidRPr="000A2745" w:rsidRDefault="004B6AAA" w:rsidP="00427132">
            <w:r w:rsidRPr="000A2745">
              <w:t>Rohrbogen</w:t>
            </w:r>
          </w:p>
        </w:tc>
      </w:tr>
      <w:tr w:rsidR="004B6AAA" w:rsidRPr="000A2745" w14:paraId="0A0F878A" w14:textId="77777777" w:rsidTr="00142E92">
        <w:trPr>
          <w:trHeight w:val="236"/>
        </w:trPr>
        <w:tc>
          <w:tcPr>
            <w:tcW w:w="3359" w:type="dxa"/>
          </w:tcPr>
          <w:p w14:paraId="59D61261" w14:textId="77777777" w:rsidR="004B6AAA" w:rsidRPr="000A2745" w:rsidRDefault="004B6AAA" w:rsidP="00427132">
            <w:r w:rsidRPr="000A2745">
              <w:t>BRE</w:t>
            </w:r>
          </w:p>
        </w:tc>
        <w:tc>
          <w:tcPr>
            <w:tcW w:w="3792" w:type="dxa"/>
          </w:tcPr>
          <w:p w14:paraId="048C0103" w14:textId="77777777" w:rsidR="004B6AAA" w:rsidRPr="000A2745" w:rsidRDefault="004B6AAA" w:rsidP="00427132">
            <w:r w:rsidRPr="000A2745">
              <w:t>Reduktion</w:t>
            </w:r>
          </w:p>
        </w:tc>
      </w:tr>
      <w:tr w:rsidR="004B6AAA" w:rsidRPr="000A2745" w14:paraId="1293B02F" w14:textId="77777777" w:rsidTr="00142E92">
        <w:tc>
          <w:tcPr>
            <w:tcW w:w="3359" w:type="dxa"/>
          </w:tcPr>
          <w:p w14:paraId="10CF7C7F" w14:textId="77777777" w:rsidR="004B6AAA" w:rsidRPr="000A2745" w:rsidRDefault="004B6AAA" w:rsidP="00427132">
            <w:r w:rsidRPr="000A2745">
              <w:t>BTE</w:t>
            </w:r>
          </w:p>
        </w:tc>
        <w:tc>
          <w:tcPr>
            <w:tcW w:w="3792" w:type="dxa"/>
          </w:tcPr>
          <w:p w14:paraId="02E7D2EE" w14:textId="77777777" w:rsidR="004B6AAA" w:rsidRPr="000A2745" w:rsidRDefault="004B6AAA" w:rsidP="00427132">
            <w:r w:rsidRPr="000A2745">
              <w:t xml:space="preserve">T-Stück  </w:t>
            </w:r>
          </w:p>
        </w:tc>
      </w:tr>
      <w:tr w:rsidR="004B6AAA" w:rsidRPr="000A2745" w14:paraId="274FF1E4" w14:textId="77777777" w:rsidTr="00142E92">
        <w:tc>
          <w:tcPr>
            <w:tcW w:w="3359" w:type="dxa"/>
          </w:tcPr>
          <w:p w14:paraId="46DAA5A3" w14:textId="77777777" w:rsidR="004B6AAA" w:rsidRPr="000A2745" w:rsidRDefault="004B6AAA" w:rsidP="00427132">
            <w:r w:rsidRPr="000A2745">
              <w:t>BKA</w:t>
            </w:r>
          </w:p>
        </w:tc>
        <w:tc>
          <w:tcPr>
            <w:tcW w:w="3792" w:type="dxa"/>
          </w:tcPr>
          <w:p w14:paraId="4D112F49" w14:textId="77777777" w:rsidR="004B6AAA" w:rsidRPr="000A2745" w:rsidRDefault="004B6AAA" w:rsidP="00427132">
            <w:r w:rsidRPr="000A2745">
              <w:t>Kappe</w:t>
            </w:r>
          </w:p>
        </w:tc>
      </w:tr>
      <w:tr w:rsidR="004B6AAA" w:rsidRPr="000A2745" w14:paraId="4A2E45F4" w14:textId="77777777" w:rsidTr="00142E92">
        <w:tc>
          <w:tcPr>
            <w:tcW w:w="3359" w:type="dxa"/>
          </w:tcPr>
          <w:p w14:paraId="40FF80A9" w14:textId="77777777" w:rsidR="004B6AAA" w:rsidRPr="000A2745" w:rsidRDefault="004B6AAA" w:rsidP="00427132">
            <w:r w:rsidRPr="000A2745">
              <w:t>BFL</w:t>
            </w:r>
          </w:p>
        </w:tc>
        <w:tc>
          <w:tcPr>
            <w:tcW w:w="3792" w:type="dxa"/>
          </w:tcPr>
          <w:p w14:paraId="24F79C27" w14:textId="77777777" w:rsidR="004B6AAA" w:rsidRPr="000A2745" w:rsidRDefault="004B6AAA" w:rsidP="00427132">
            <w:r w:rsidRPr="000A2745">
              <w:t xml:space="preserve">Flansch </w:t>
            </w:r>
          </w:p>
        </w:tc>
      </w:tr>
      <w:tr w:rsidR="004B6AAA" w:rsidRPr="000A2745" w14:paraId="737C108C" w14:textId="77777777" w:rsidTr="00142E92">
        <w:tc>
          <w:tcPr>
            <w:tcW w:w="3359" w:type="dxa"/>
          </w:tcPr>
          <w:p w14:paraId="6C3E8DE9" w14:textId="77777777" w:rsidR="004B6AAA" w:rsidRPr="000A2745" w:rsidRDefault="004B6AAA" w:rsidP="00427132">
            <w:r w:rsidRPr="000A2745">
              <w:t>BDI</w:t>
            </w:r>
          </w:p>
        </w:tc>
        <w:tc>
          <w:tcPr>
            <w:tcW w:w="3792" w:type="dxa"/>
          </w:tcPr>
          <w:p w14:paraId="36D70F8B" w14:textId="77777777" w:rsidR="004B6AAA" w:rsidRPr="000A2745" w:rsidRDefault="004B6AAA" w:rsidP="00427132">
            <w:r w:rsidRPr="000A2745">
              <w:t>Dichtung</w:t>
            </w:r>
          </w:p>
        </w:tc>
      </w:tr>
      <w:tr w:rsidR="004B6AAA" w:rsidRPr="000A2745" w14:paraId="30C6A4AD" w14:textId="77777777" w:rsidTr="00142E92">
        <w:tc>
          <w:tcPr>
            <w:tcW w:w="3359" w:type="dxa"/>
          </w:tcPr>
          <w:p w14:paraId="7993CEE1" w14:textId="77777777" w:rsidR="004B6AAA" w:rsidRPr="000A2745" w:rsidRDefault="004B6AAA" w:rsidP="00427132">
            <w:r w:rsidRPr="000A2745">
              <w:t>BSC</w:t>
            </w:r>
          </w:p>
        </w:tc>
        <w:tc>
          <w:tcPr>
            <w:tcW w:w="3792" w:type="dxa"/>
          </w:tcPr>
          <w:p w14:paraId="3674900A" w14:textId="77777777" w:rsidR="004B6AAA" w:rsidRPr="000A2745" w:rsidRDefault="004B6AAA" w:rsidP="00427132">
            <w:r w:rsidRPr="000A2745">
              <w:t>Schrauben / Verbindungsmaterial</w:t>
            </w:r>
          </w:p>
        </w:tc>
      </w:tr>
      <w:tr w:rsidR="004B6AAA" w:rsidRPr="000A2745" w14:paraId="061C05FD" w14:textId="77777777" w:rsidTr="00142E92">
        <w:tc>
          <w:tcPr>
            <w:tcW w:w="3359" w:type="dxa"/>
          </w:tcPr>
          <w:p w14:paraId="4FA860E8" w14:textId="77777777" w:rsidR="004B6AAA" w:rsidRPr="000A2745" w:rsidRDefault="004B6AAA" w:rsidP="00427132">
            <w:r w:rsidRPr="000A2745">
              <w:t>BST</w:t>
            </w:r>
          </w:p>
        </w:tc>
        <w:tc>
          <w:tcPr>
            <w:tcW w:w="3792" w:type="dxa"/>
          </w:tcPr>
          <w:p w14:paraId="099A78E1" w14:textId="77777777" w:rsidR="004B6AAA" w:rsidRPr="000A2745" w:rsidRDefault="004B6AAA" w:rsidP="00427132">
            <w:r w:rsidRPr="000A2745">
              <w:t xml:space="preserve">Stutzen </w:t>
            </w:r>
          </w:p>
        </w:tc>
      </w:tr>
      <w:tr w:rsidR="004B6AAA" w:rsidRPr="000A2745" w14:paraId="0B98DB55" w14:textId="77777777" w:rsidTr="00142E92">
        <w:tc>
          <w:tcPr>
            <w:tcW w:w="3359" w:type="dxa"/>
          </w:tcPr>
          <w:p w14:paraId="7C1E81DD" w14:textId="77777777" w:rsidR="004B6AAA" w:rsidRPr="000A2745" w:rsidRDefault="004B6AAA" w:rsidP="00427132">
            <w:r w:rsidRPr="000A2745">
              <w:t>BHA</w:t>
            </w:r>
          </w:p>
        </w:tc>
        <w:tc>
          <w:tcPr>
            <w:tcW w:w="3792" w:type="dxa"/>
          </w:tcPr>
          <w:p w14:paraId="3968FC03" w14:textId="77777777" w:rsidR="004B6AAA" w:rsidRPr="000A2745" w:rsidRDefault="004B6AAA" w:rsidP="00427132">
            <w:r w:rsidRPr="000A2745">
              <w:t>Halterung</w:t>
            </w:r>
          </w:p>
        </w:tc>
      </w:tr>
      <w:tr w:rsidR="004B6AAA" w:rsidRPr="000A2745" w14:paraId="57576EBD" w14:textId="77777777" w:rsidTr="00142E92">
        <w:tc>
          <w:tcPr>
            <w:tcW w:w="3359" w:type="dxa"/>
          </w:tcPr>
          <w:p w14:paraId="0222F000" w14:textId="77777777" w:rsidR="004B6AAA" w:rsidRPr="000A2745" w:rsidRDefault="004B6AAA" w:rsidP="00427132">
            <w:r w:rsidRPr="000A2745">
              <w:t>BSP</w:t>
            </w:r>
          </w:p>
        </w:tc>
        <w:tc>
          <w:tcPr>
            <w:tcW w:w="3792" w:type="dxa"/>
          </w:tcPr>
          <w:p w14:paraId="115DD23F" w14:textId="77777777" w:rsidR="004B6AAA" w:rsidRPr="000A2745" w:rsidRDefault="004B6AAA" w:rsidP="00427132">
            <w:r w:rsidRPr="000A2745">
              <w:t>Stahlprofil</w:t>
            </w:r>
          </w:p>
        </w:tc>
      </w:tr>
      <w:tr w:rsidR="004B6AAA" w:rsidRPr="000A2745" w14:paraId="4369913D" w14:textId="77777777" w:rsidTr="00142E92">
        <w:tc>
          <w:tcPr>
            <w:tcW w:w="3359" w:type="dxa"/>
          </w:tcPr>
          <w:p w14:paraId="492A66A5" w14:textId="23F4F175" w:rsidR="004B6AAA" w:rsidRPr="000A2745" w:rsidRDefault="004B6AAA" w:rsidP="00427132">
            <w:r w:rsidRPr="000A2745">
              <w:t>BIS</w:t>
            </w:r>
          </w:p>
        </w:tc>
        <w:tc>
          <w:tcPr>
            <w:tcW w:w="3792" w:type="dxa"/>
          </w:tcPr>
          <w:p w14:paraId="1222281D" w14:textId="06DFE070" w:rsidR="004B6AAA" w:rsidRPr="009B0071" w:rsidRDefault="004B6AAA" w:rsidP="009B0071">
            <w:r w:rsidRPr="000A2745">
              <w:t>Isolierung</w:t>
            </w:r>
          </w:p>
        </w:tc>
      </w:tr>
      <w:tr w:rsidR="00142E92" w:rsidRPr="000A2745" w14:paraId="643003D9" w14:textId="77777777" w:rsidTr="00142E92">
        <w:trPr>
          <w:trHeight w:val="201"/>
        </w:trPr>
        <w:tc>
          <w:tcPr>
            <w:tcW w:w="3359" w:type="dxa"/>
          </w:tcPr>
          <w:p w14:paraId="58C0900B" w14:textId="7EFBF61C" w:rsidR="00142E92" w:rsidRPr="000A2745" w:rsidRDefault="00142E92" w:rsidP="00427132">
            <w:r w:rsidRPr="000A2745">
              <w:t>BRV</w:t>
            </w:r>
          </w:p>
        </w:tc>
        <w:tc>
          <w:tcPr>
            <w:tcW w:w="3792" w:type="dxa"/>
          </w:tcPr>
          <w:p w14:paraId="21107539" w14:textId="77777777" w:rsidR="00142E92" w:rsidRPr="009B0071" w:rsidRDefault="00142E92" w:rsidP="009B0071">
            <w:r w:rsidRPr="000A2745">
              <w:t>Rohrverschraubungen</w:t>
            </w:r>
          </w:p>
        </w:tc>
      </w:tr>
    </w:tbl>
    <w:p w14:paraId="43F5AD8C" w14:textId="77777777" w:rsidR="004B6AAA" w:rsidRPr="009B0071" w:rsidRDefault="004B6AAA" w:rsidP="004B6AAA">
      <w:pPr>
        <w:rPr>
          <w:b/>
          <w:bCs/>
        </w:rPr>
      </w:pPr>
    </w:p>
    <w:p w14:paraId="430FAC46" w14:textId="77777777" w:rsidR="004B6AAA" w:rsidRPr="009B0071" w:rsidRDefault="004B6AAA" w:rsidP="004B6AAA">
      <w:pPr>
        <w:rPr>
          <w:b/>
          <w:bCs/>
        </w:rPr>
      </w:pPr>
      <w:r w:rsidRPr="009B0071">
        <w:rPr>
          <w:b/>
          <w:bCs/>
        </w:rPr>
        <w:t>B. NON-BULK-CODES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B6AAA" w:rsidRPr="000A2745" w14:paraId="350E843F" w14:textId="77777777" w:rsidTr="00142E92">
        <w:tc>
          <w:tcPr>
            <w:tcW w:w="4320" w:type="dxa"/>
          </w:tcPr>
          <w:p w14:paraId="4B50E028" w14:textId="77777777" w:rsidR="004B6AAA" w:rsidRPr="009B0071" w:rsidRDefault="004B6AAA" w:rsidP="00427132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Code</w:t>
            </w:r>
          </w:p>
        </w:tc>
        <w:tc>
          <w:tcPr>
            <w:tcW w:w="4320" w:type="dxa"/>
          </w:tcPr>
          <w:p w14:paraId="78B4397E" w14:textId="77777777" w:rsidR="004B6AAA" w:rsidRPr="009B0071" w:rsidRDefault="004B6AAA" w:rsidP="00427132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Bauteil</w:t>
            </w:r>
          </w:p>
        </w:tc>
      </w:tr>
      <w:tr w:rsidR="004B6AAA" w:rsidRPr="000A2745" w14:paraId="233795AF" w14:textId="77777777" w:rsidTr="00142E92">
        <w:tc>
          <w:tcPr>
            <w:tcW w:w="4320" w:type="dxa"/>
          </w:tcPr>
          <w:p w14:paraId="08F426E7" w14:textId="77777777" w:rsidR="004B6AAA" w:rsidRPr="000A2745" w:rsidRDefault="004B6AAA" w:rsidP="00427132">
            <w:r w:rsidRPr="000A2745">
              <w:t>NBV</w:t>
            </w:r>
          </w:p>
        </w:tc>
        <w:tc>
          <w:tcPr>
            <w:tcW w:w="4320" w:type="dxa"/>
          </w:tcPr>
          <w:p w14:paraId="1985205F" w14:textId="77777777" w:rsidR="004B6AAA" w:rsidRPr="000A2745" w:rsidRDefault="004B6AAA" w:rsidP="00427132">
            <w:r w:rsidRPr="000A2745">
              <w:t>Ventil / Armatur</w:t>
            </w:r>
          </w:p>
        </w:tc>
      </w:tr>
      <w:tr w:rsidR="004B6AAA" w:rsidRPr="000A2745" w14:paraId="72EF82F3" w14:textId="77777777" w:rsidTr="00142E92">
        <w:tc>
          <w:tcPr>
            <w:tcW w:w="4320" w:type="dxa"/>
          </w:tcPr>
          <w:p w14:paraId="267624C1" w14:textId="77777777" w:rsidR="004B6AAA" w:rsidRPr="000A2745" w:rsidRDefault="004B6AAA" w:rsidP="00427132">
            <w:r w:rsidRPr="000A2745">
              <w:t>NBI</w:t>
            </w:r>
          </w:p>
        </w:tc>
        <w:tc>
          <w:tcPr>
            <w:tcW w:w="4320" w:type="dxa"/>
          </w:tcPr>
          <w:p w14:paraId="1D6CD336" w14:textId="77777777" w:rsidR="004B6AAA" w:rsidRPr="000A2745" w:rsidRDefault="004B6AAA" w:rsidP="00427132">
            <w:r w:rsidRPr="000A2745">
              <w:t>Instrument</w:t>
            </w:r>
          </w:p>
        </w:tc>
      </w:tr>
      <w:tr w:rsidR="004B6AAA" w:rsidRPr="000A2745" w14:paraId="35DA9390" w14:textId="77777777" w:rsidTr="00142E92">
        <w:tc>
          <w:tcPr>
            <w:tcW w:w="4320" w:type="dxa"/>
          </w:tcPr>
          <w:p w14:paraId="697F974A" w14:textId="77777777" w:rsidR="004B6AAA" w:rsidRPr="000A2745" w:rsidRDefault="004B6AAA" w:rsidP="00427132">
            <w:r w:rsidRPr="000A2745">
              <w:t>NBF</w:t>
            </w:r>
          </w:p>
        </w:tc>
        <w:tc>
          <w:tcPr>
            <w:tcW w:w="4320" w:type="dxa"/>
          </w:tcPr>
          <w:p w14:paraId="5EDBEB31" w14:textId="77777777" w:rsidR="004B6AAA" w:rsidRPr="000A2745" w:rsidRDefault="004B6AAA" w:rsidP="00427132">
            <w:r w:rsidRPr="000A2745">
              <w:t>Filter</w:t>
            </w:r>
          </w:p>
        </w:tc>
      </w:tr>
      <w:tr w:rsidR="004B6AAA" w:rsidRPr="000A2745" w14:paraId="0C3E66B7" w14:textId="77777777" w:rsidTr="00142E92">
        <w:tc>
          <w:tcPr>
            <w:tcW w:w="4320" w:type="dxa"/>
          </w:tcPr>
          <w:p w14:paraId="1D5BD035" w14:textId="77777777" w:rsidR="004B6AAA" w:rsidRPr="000A2745" w:rsidRDefault="004B6AAA" w:rsidP="00427132">
            <w:r w:rsidRPr="000A2745">
              <w:t>NBW</w:t>
            </w:r>
          </w:p>
        </w:tc>
        <w:tc>
          <w:tcPr>
            <w:tcW w:w="4320" w:type="dxa"/>
          </w:tcPr>
          <w:p w14:paraId="664F5360" w14:textId="77777777" w:rsidR="004B6AAA" w:rsidRPr="000A2745" w:rsidRDefault="004B6AAA" w:rsidP="00427132">
            <w:r w:rsidRPr="000A2745">
              <w:t>Wärmetauscher</w:t>
            </w:r>
          </w:p>
        </w:tc>
      </w:tr>
      <w:tr w:rsidR="004B6AAA" w:rsidRPr="000A2745" w14:paraId="190DAE4A" w14:textId="77777777" w:rsidTr="00142E92">
        <w:tc>
          <w:tcPr>
            <w:tcW w:w="4320" w:type="dxa"/>
          </w:tcPr>
          <w:p w14:paraId="50F72FFB" w14:textId="77777777" w:rsidR="004B6AAA" w:rsidRPr="000A2745" w:rsidRDefault="004B6AAA" w:rsidP="00427132">
            <w:r w:rsidRPr="000A2745">
              <w:t>NBB</w:t>
            </w:r>
          </w:p>
        </w:tc>
        <w:tc>
          <w:tcPr>
            <w:tcW w:w="4320" w:type="dxa"/>
          </w:tcPr>
          <w:p w14:paraId="35F87E2F" w14:textId="77777777" w:rsidR="004B6AAA" w:rsidRPr="000A2745" w:rsidRDefault="004B6AAA" w:rsidP="00427132">
            <w:r w:rsidRPr="000A2745">
              <w:t>Behälter</w:t>
            </w:r>
          </w:p>
        </w:tc>
      </w:tr>
      <w:tr w:rsidR="004B6AAA" w:rsidRPr="000A2745" w14:paraId="6C407B4B" w14:textId="77777777" w:rsidTr="00142E92">
        <w:tc>
          <w:tcPr>
            <w:tcW w:w="4320" w:type="dxa"/>
          </w:tcPr>
          <w:p w14:paraId="3CE3FEDC" w14:textId="77777777" w:rsidR="004B6AAA" w:rsidRPr="000A2745" w:rsidRDefault="004B6AAA" w:rsidP="00427132">
            <w:r w:rsidRPr="000A2745">
              <w:t>NBS</w:t>
            </w:r>
          </w:p>
        </w:tc>
        <w:tc>
          <w:tcPr>
            <w:tcW w:w="4320" w:type="dxa"/>
          </w:tcPr>
          <w:p w14:paraId="11B51DAF" w14:textId="77777777" w:rsidR="004B6AAA" w:rsidRPr="000A2745" w:rsidRDefault="004B6AAA" w:rsidP="00427132">
            <w:proofErr w:type="spellStart"/>
            <w:r w:rsidRPr="000A2745">
              <w:t>Skid</w:t>
            </w:r>
            <w:proofErr w:type="spellEnd"/>
          </w:p>
        </w:tc>
      </w:tr>
      <w:tr w:rsidR="004B6AAA" w:rsidRPr="000A2745" w14:paraId="1F3EA00D" w14:textId="77777777" w:rsidTr="00142E92">
        <w:tc>
          <w:tcPr>
            <w:tcW w:w="4320" w:type="dxa"/>
          </w:tcPr>
          <w:p w14:paraId="00C6D959" w14:textId="77777777" w:rsidR="004B6AAA" w:rsidRPr="000A2745" w:rsidRDefault="004B6AAA" w:rsidP="00427132">
            <w:r w:rsidRPr="000A2745">
              <w:t>NBG</w:t>
            </w:r>
          </w:p>
        </w:tc>
        <w:tc>
          <w:tcPr>
            <w:tcW w:w="4320" w:type="dxa"/>
          </w:tcPr>
          <w:p w14:paraId="678CCA6D" w14:textId="77777777" w:rsidR="004B6AAA" w:rsidRPr="000A2745" w:rsidRDefault="004B6AAA" w:rsidP="00427132">
            <w:r w:rsidRPr="000A2745">
              <w:t>Baugruppe</w:t>
            </w:r>
          </w:p>
        </w:tc>
      </w:tr>
      <w:tr w:rsidR="004B6AAA" w:rsidRPr="000A2745" w14:paraId="5E8BF399" w14:textId="77777777" w:rsidTr="00142E92">
        <w:tc>
          <w:tcPr>
            <w:tcW w:w="4320" w:type="dxa"/>
          </w:tcPr>
          <w:p w14:paraId="408ED99B" w14:textId="77777777" w:rsidR="004B6AAA" w:rsidRPr="000A2745" w:rsidRDefault="004B6AAA" w:rsidP="00427132">
            <w:r w:rsidRPr="000A2745">
              <w:t>NBD</w:t>
            </w:r>
          </w:p>
        </w:tc>
        <w:tc>
          <w:tcPr>
            <w:tcW w:w="4320" w:type="dxa"/>
          </w:tcPr>
          <w:p w14:paraId="433EE2B4" w14:textId="77777777" w:rsidR="004B6AAA" w:rsidRPr="000A2745" w:rsidRDefault="004B6AAA" w:rsidP="00427132">
            <w:r w:rsidRPr="000A2745">
              <w:t>Zeichnungsteil</w:t>
            </w:r>
          </w:p>
        </w:tc>
      </w:tr>
      <w:tr w:rsidR="004B6AAA" w:rsidRPr="000A2745" w14:paraId="643696FC" w14:textId="77777777" w:rsidTr="00142E92">
        <w:tc>
          <w:tcPr>
            <w:tcW w:w="4320" w:type="dxa"/>
          </w:tcPr>
          <w:p w14:paraId="3A0D171D" w14:textId="77777777" w:rsidR="004B6AAA" w:rsidRPr="000A2745" w:rsidRDefault="004B6AAA" w:rsidP="00427132">
            <w:r w:rsidRPr="000A2745">
              <w:t>NBM</w:t>
            </w:r>
          </w:p>
        </w:tc>
        <w:tc>
          <w:tcPr>
            <w:tcW w:w="4320" w:type="dxa"/>
          </w:tcPr>
          <w:p w14:paraId="233C87E8" w14:textId="77777777" w:rsidR="004B6AAA" w:rsidRPr="000A2745" w:rsidRDefault="004B6AAA" w:rsidP="00427132">
            <w:r w:rsidRPr="000A2745">
              <w:t>Modul</w:t>
            </w:r>
          </w:p>
        </w:tc>
      </w:tr>
    </w:tbl>
    <w:p w14:paraId="1D4B3B3C" w14:textId="77777777" w:rsidR="004B6AAA" w:rsidRPr="000A2745" w:rsidRDefault="004B6AAA" w:rsidP="004B6AAA"/>
    <w:p w14:paraId="6A2C1FAC" w14:textId="77777777" w:rsidR="004B6AAA" w:rsidRPr="009B0071" w:rsidRDefault="004B6AAA" w:rsidP="004B6AAA">
      <w:pPr>
        <w:rPr>
          <w:b/>
          <w:bCs/>
        </w:rPr>
      </w:pPr>
      <w:r w:rsidRPr="009B0071">
        <w:rPr>
          <w:b/>
          <w:bCs/>
        </w:rPr>
        <w:t>C. Dokumententypen (DOCTYPE)</w:t>
      </w:r>
    </w:p>
    <w:p w14:paraId="39C7F023" w14:textId="77777777" w:rsidR="004B6AAA" w:rsidRPr="000A2745" w:rsidRDefault="004B6AAA" w:rsidP="004B6AA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B6AAA" w:rsidRPr="000A2745" w14:paraId="161016E6" w14:textId="77777777" w:rsidTr="00142E92">
        <w:tc>
          <w:tcPr>
            <w:tcW w:w="4320" w:type="dxa"/>
          </w:tcPr>
          <w:p w14:paraId="465442B6" w14:textId="77777777" w:rsidR="004B6AAA" w:rsidRPr="009B0071" w:rsidRDefault="004B6AAA" w:rsidP="00427132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Code</w:t>
            </w:r>
          </w:p>
        </w:tc>
        <w:tc>
          <w:tcPr>
            <w:tcW w:w="4320" w:type="dxa"/>
          </w:tcPr>
          <w:p w14:paraId="29900B59" w14:textId="77777777" w:rsidR="004B6AAA" w:rsidRPr="009B0071" w:rsidRDefault="004B6AAA" w:rsidP="00427132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Bedeutung</w:t>
            </w:r>
          </w:p>
        </w:tc>
      </w:tr>
      <w:tr w:rsidR="004B6AAA" w:rsidRPr="000A2745" w14:paraId="2E0705C4" w14:textId="77777777" w:rsidTr="00142E92">
        <w:tc>
          <w:tcPr>
            <w:tcW w:w="4320" w:type="dxa"/>
          </w:tcPr>
          <w:p w14:paraId="024B2690" w14:textId="77777777" w:rsidR="004B6AAA" w:rsidRPr="000A2745" w:rsidRDefault="004B6AAA" w:rsidP="00427132">
            <w:r w:rsidRPr="000A2745">
              <w:t>31</w:t>
            </w:r>
          </w:p>
        </w:tc>
        <w:tc>
          <w:tcPr>
            <w:tcW w:w="4320" w:type="dxa"/>
          </w:tcPr>
          <w:p w14:paraId="18130DD9" w14:textId="77777777" w:rsidR="004B6AAA" w:rsidRPr="000A2745" w:rsidRDefault="004B6AAA" w:rsidP="00427132">
            <w:r w:rsidRPr="000A2745">
              <w:t>Werkszeugnis 3.1</w:t>
            </w:r>
          </w:p>
        </w:tc>
      </w:tr>
      <w:tr w:rsidR="004B6AAA" w:rsidRPr="000A2745" w14:paraId="03C52DF0" w14:textId="77777777" w:rsidTr="00142E92">
        <w:tc>
          <w:tcPr>
            <w:tcW w:w="4320" w:type="dxa"/>
          </w:tcPr>
          <w:p w14:paraId="5E750911" w14:textId="77777777" w:rsidR="004B6AAA" w:rsidRPr="000A2745" w:rsidRDefault="004B6AAA" w:rsidP="00427132">
            <w:r w:rsidRPr="000A2745">
              <w:t>32</w:t>
            </w:r>
          </w:p>
        </w:tc>
        <w:tc>
          <w:tcPr>
            <w:tcW w:w="4320" w:type="dxa"/>
          </w:tcPr>
          <w:p w14:paraId="4AE9BB59" w14:textId="77777777" w:rsidR="004B6AAA" w:rsidRPr="000A2745" w:rsidRDefault="004B6AAA" w:rsidP="00427132">
            <w:r w:rsidRPr="000A2745">
              <w:t>Werkszeugnis 3.2</w:t>
            </w:r>
          </w:p>
        </w:tc>
      </w:tr>
      <w:tr w:rsidR="004B6AAA" w:rsidRPr="000A2745" w14:paraId="345EEF68" w14:textId="77777777" w:rsidTr="00142E92">
        <w:tc>
          <w:tcPr>
            <w:tcW w:w="4320" w:type="dxa"/>
          </w:tcPr>
          <w:p w14:paraId="3E7FF32E" w14:textId="77777777" w:rsidR="004B6AAA" w:rsidRPr="000A2745" w:rsidRDefault="004B6AAA" w:rsidP="00427132">
            <w:proofErr w:type="spellStart"/>
            <w:r w:rsidRPr="000A2745">
              <w:t>CoC</w:t>
            </w:r>
            <w:proofErr w:type="spellEnd"/>
          </w:p>
        </w:tc>
        <w:tc>
          <w:tcPr>
            <w:tcW w:w="4320" w:type="dxa"/>
          </w:tcPr>
          <w:p w14:paraId="4DA0FEE1" w14:textId="77777777" w:rsidR="004B6AAA" w:rsidRPr="000A2745" w:rsidRDefault="004B6AAA" w:rsidP="00427132">
            <w:r w:rsidRPr="000A2745">
              <w:t>Konformitätsbescheinigung</w:t>
            </w:r>
          </w:p>
        </w:tc>
      </w:tr>
      <w:tr w:rsidR="004B6AAA" w:rsidRPr="000A2745" w14:paraId="2C3AB1F9" w14:textId="77777777" w:rsidTr="00142E92">
        <w:tc>
          <w:tcPr>
            <w:tcW w:w="4320" w:type="dxa"/>
          </w:tcPr>
          <w:p w14:paraId="39133150" w14:textId="77777777" w:rsidR="004B6AAA" w:rsidRPr="000A2745" w:rsidRDefault="004B6AAA" w:rsidP="00427132">
            <w:r w:rsidRPr="000A2745">
              <w:t>DRW</w:t>
            </w:r>
          </w:p>
        </w:tc>
        <w:tc>
          <w:tcPr>
            <w:tcW w:w="4320" w:type="dxa"/>
          </w:tcPr>
          <w:p w14:paraId="30579D4F" w14:textId="77777777" w:rsidR="004B6AAA" w:rsidRPr="000A2745" w:rsidRDefault="004B6AAA" w:rsidP="00427132">
            <w:r w:rsidRPr="000A2745">
              <w:t>Zeichnung</w:t>
            </w:r>
          </w:p>
        </w:tc>
      </w:tr>
      <w:tr w:rsidR="004B6AAA" w:rsidRPr="000A2745" w14:paraId="2BE906D1" w14:textId="77777777" w:rsidTr="00142E92">
        <w:tc>
          <w:tcPr>
            <w:tcW w:w="4320" w:type="dxa"/>
          </w:tcPr>
          <w:p w14:paraId="62CA61DD" w14:textId="77777777" w:rsidR="004B6AAA" w:rsidRPr="000A2745" w:rsidRDefault="004B6AAA" w:rsidP="00427132">
            <w:r w:rsidRPr="000A2745">
              <w:t>WPS</w:t>
            </w:r>
          </w:p>
        </w:tc>
        <w:tc>
          <w:tcPr>
            <w:tcW w:w="4320" w:type="dxa"/>
          </w:tcPr>
          <w:p w14:paraId="09195546" w14:textId="77777777" w:rsidR="004B6AAA" w:rsidRPr="000A2745" w:rsidRDefault="004B6AAA" w:rsidP="00427132">
            <w:r w:rsidRPr="000A2745">
              <w:t>Schweißanweisung</w:t>
            </w:r>
          </w:p>
        </w:tc>
      </w:tr>
      <w:tr w:rsidR="004B6AAA" w:rsidRPr="000A2745" w14:paraId="01D17720" w14:textId="77777777" w:rsidTr="00142E92">
        <w:tc>
          <w:tcPr>
            <w:tcW w:w="4320" w:type="dxa"/>
          </w:tcPr>
          <w:p w14:paraId="25B75618" w14:textId="77777777" w:rsidR="004B6AAA" w:rsidRPr="000A2745" w:rsidRDefault="004B6AAA" w:rsidP="00427132">
            <w:r w:rsidRPr="000A2745">
              <w:t>WPQR</w:t>
            </w:r>
          </w:p>
        </w:tc>
        <w:tc>
          <w:tcPr>
            <w:tcW w:w="4320" w:type="dxa"/>
          </w:tcPr>
          <w:p w14:paraId="056EAC37" w14:textId="77777777" w:rsidR="004B6AAA" w:rsidRPr="000A2745" w:rsidRDefault="004B6AAA" w:rsidP="00427132">
            <w:r w:rsidRPr="000A2745">
              <w:t>Schweißverfahrensprüfung</w:t>
            </w:r>
          </w:p>
        </w:tc>
      </w:tr>
      <w:tr w:rsidR="004B6AAA" w:rsidRPr="000A2745" w14:paraId="59AB480B" w14:textId="77777777" w:rsidTr="00142E92">
        <w:tc>
          <w:tcPr>
            <w:tcW w:w="4320" w:type="dxa"/>
          </w:tcPr>
          <w:p w14:paraId="5BD3C27E" w14:textId="77777777" w:rsidR="004B6AAA" w:rsidRPr="000A2745" w:rsidRDefault="004B6AAA" w:rsidP="00427132">
            <w:r w:rsidRPr="000A2745">
              <w:t>DOK</w:t>
            </w:r>
          </w:p>
        </w:tc>
        <w:tc>
          <w:tcPr>
            <w:tcW w:w="4320" w:type="dxa"/>
          </w:tcPr>
          <w:p w14:paraId="65D93AA2" w14:textId="77777777" w:rsidR="004B6AAA" w:rsidRPr="000A2745" w:rsidRDefault="004B6AAA" w:rsidP="00427132">
            <w:r w:rsidRPr="000A2745">
              <w:t>Sonstige Dokumentation</w:t>
            </w:r>
          </w:p>
        </w:tc>
      </w:tr>
    </w:tbl>
    <w:p w14:paraId="2D1EE9B0" w14:textId="77777777" w:rsidR="004B6AAA" w:rsidRPr="000A2745" w:rsidRDefault="004B6AAA" w:rsidP="004B6AAA"/>
    <w:p w14:paraId="15F7CAD9" w14:textId="48BC5E4E" w:rsidR="004B6AAA" w:rsidRPr="000A2745" w:rsidRDefault="004B6AAA" w:rsidP="009B0071">
      <w:pPr>
        <w:pStyle w:val="berschrift1"/>
        <w:ind w:left="431" w:hanging="431"/>
      </w:pPr>
      <w:bookmarkStart w:id="25" w:name="_Toc221514565"/>
      <w:r w:rsidRPr="000A2745">
        <w:t>Gültigkeit</w:t>
      </w:r>
      <w:bookmarkEnd w:id="25"/>
    </w:p>
    <w:p w14:paraId="5E2DAC5D" w14:textId="77777777" w:rsidR="004B6AAA" w:rsidRPr="000A2745" w:rsidRDefault="004B6AAA" w:rsidP="004B6AAA">
      <w:r w:rsidRPr="000A2745">
        <w:t>Diese Liefervorschrift tritt mit Veröffentlichung in Kraft und gilt für alle laufenden und zukünftigen Bestellungen, sofern im Bestelltext darauf verwiesen wird.</w:t>
      </w:r>
    </w:p>
    <w:p w14:paraId="78DD199C" w14:textId="77777777" w:rsidR="004B6AAA" w:rsidRDefault="004B6AAA" w:rsidP="004B6AAA"/>
    <w:p w14:paraId="155E29A1" w14:textId="77777777" w:rsidR="007D1645" w:rsidRDefault="007D1645" w:rsidP="00142E92">
      <w:pPr>
        <w:sectPr w:rsidR="007D1645" w:rsidSect="007D16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567" w:bottom="567" w:left="964" w:header="709" w:footer="709" w:gutter="0"/>
          <w:cols w:space="708"/>
          <w:docGrid w:linePitch="360"/>
        </w:sectPr>
      </w:pPr>
    </w:p>
    <w:sdt>
      <w:sdtPr>
        <w:rPr>
          <w:rFonts w:ascii="Century Gothic" w:eastAsiaTheme="minorEastAsia" w:hAnsi="Century Gothic" w:cstheme="minorBidi"/>
          <w:color w:val="auto"/>
          <w:sz w:val="20"/>
          <w:szCs w:val="20"/>
          <w:lang w:val="de-AT" w:eastAsia="en-US"/>
        </w:rPr>
        <w:id w:val="12659679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6316DBEA" w14:textId="77777777" w:rsidR="007D1645" w:rsidRPr="00595305" w:rsidRDefault="007D1645" w:rsidP="007D1645">
          <w:pPr>
            <w:pStyle w:val="Inhaltsverzeichnisberschrift"/>
            <w:rPr>
              <w:rFonts w:ascii="Century Gothic" w:hAnsi="Century Gothic"/>
              <w:b/>
              <w:bCs/>
              <w:color w:val="auto"/>
              <w:sz w:val="24"/>
              <w:szCs w:val="24"/>
            </w:rPr>
          </w:pPr>
          <w:r w:rsidRPr="00595305">
            <w:rPr>
              <w:rFonts w:ascii="Century Gothic" w:hAnsi="Century Gothic"/>
              <w:b/>
              <w:bCs/>
              <w:color w:val="auto"/>
              <w:sz w:val="24"/>
              <w:szCs w:val="24"/>
            </w:rPr>
            <w:t>Contents</w:t>
          </w:r>
        </w:p>
        <w:p w14:paraId="7EFF841C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r w:rsidRPr="00595305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595305">
            <w:rPr>
              <w:rFonts w:ascii="Century Gothic" w:hAnsi="Century Gothic"/>
              <w:sz w:val="20"/>
              <w:szCs w:val="20"/>
            </w:rPr>
            <w:instrText xml:space="preserve"> TOC \o "1-3" \h \z \u </w:instrText>
          </w:r>
          <w:r w:rsidRPr="00595305">
            <w:rPr>
              <w:rFonts w:ascii="Century Gothic" w:hAnsi="Century Gothic"/>
              <w:sz w:val="20"/>
              <w:szCs w:val="20"/>
            </w:rPr>
            <w:fldChar w:fldCharType="separate"/>
          </w:r>
          <w:hyperlink w:anchor="_Toc221514544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General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_Toc221514544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1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7C19CA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5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Purpose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_Toc221514545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1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F61859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6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Objective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_Toc221514546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10F07D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7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Related documents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_Toc221514547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E6C34E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8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1.4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Terms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_Toc221514548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DF3D49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49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Requirements for the delivery condition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_Toc221514549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3EEAF7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0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Electropolished pipes and piping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_Toc221514550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C8F094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1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Cleanliness requirements (life sciences)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_Toc221514551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C2385C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2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Surface requirements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_Toc221514552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2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F8C5B0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3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2.4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Valves, fittings, and media-carrying components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_Toc221514553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C4C77A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4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2.5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Skids, assemblies, and modules made of stainless steel (brushed surfaces)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_Toc221514554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258BA7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5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Packaging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_Toc221514555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16B7B14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6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Protection against weather and environmental influences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_Toc221514556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5DA04E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7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Corrosion protection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_Toc221514557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DBBBB5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8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3.3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Transport-related damage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_Toc221514558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3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BCF3D5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59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Inspection and deviations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_Toc221514559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E30D7E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0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4.1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Deviations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_Toc221514560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5896FD1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1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5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Responsibility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_Toc221514561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9384FD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2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6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Mandatory email subject line (incoming key)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_Toc221514562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618C23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3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6.1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Meaning of the fields in the subject line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_Toc221514563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4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4A1DB1" w14:textId="77777777" w:rsidR="007D1645" w:rsidRPr="007E7160" w:rsidRDefault="007D1645" w:rsidP="007D1645">
          <w:pPr>
            <w:pStyle w:val="Verzeichnis2"/>
            <w:tabs>
              <w:tab w:val="left" w:pos="96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4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6.2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Part and component codes (excerpt)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_Toc221514564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5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61D642" w14:textId="77777777" w:rsidR="007D1645" w:rsidRPr="007E7160" w:rsidRDefault="007D1645" w:rsidP="007D1645">
          <w:pPr>
            <w:pStyle w:val="Verzeichnis1"/>
            <w:tabs>
              <w:tab w:val="left" w:pos="440"/>
              <w:tab w:val="right" w:leader="dot" w:pos="10365"/>
            </w:tabs>
            <w:rPr>
              <w:rFonts w:ascii="Century Gothic" w:hAnsi="Century Gothic"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221514565" w:history="1"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7</w:t>
            </w:r>
            <w:r w:rsidRPr="007E7160">
              <w:rPr>
                <w:rFonts w:ascii="Century Gothic" w:hAnsi="Century Gothic"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7E7160">
              <w:rPr>
                <w:rStyle w:val="Hyperlink"/>
                <w:rFonts w:ascii="Century Gothic" w:hAnsi="Century Gothic"/>
                <w:noProof/>
                <w:sz w:val="20"/>
                <w:szCs w:val="20"/>
              </w:rPr>
              <w:t>Validity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_Toc221514565 \h </w:instrTex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t>5</w:t>
            </w:r>
            <w:r w:rsidRPr="007E7160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5657C58" w14:textId="77777777" w:rsidR="007D1645" w:rsidRPr="005D75BC" w:rsidRDefault="007D1645" w:rsidP="007D1645">
          <w:r w:rsidRPr="00595305">
            <w:rPr>
              <w:b/>
              <w:bCs/>
              <w:szCs w:val="20"/>
            </w:rPr>
            <w:fldChar w:fldCharType="end"/>
          </w:r>
        </w:p>
      </w:sdtContent>
    </w:sdt>
    <w:p w14:paraId="215FF1B2" w14:textId="77777777" w:rsidR="007D1645" w:rsidRPr="0072797E" w:rsidRDefault="007D1645" w:rsidP="007D1645">
      <w:pPr>
        <w:pStyle w:val="berschrift1"/>
        <w:numPr>
          <w:ilvl w:val="0"/>
          <w:numId w:val="15"/>
        </w:numPr>
      </w:pPr>
      <w:r w:rsidRPr="0072797E">
        <w:t>General</w:t>
      </w:r>
    </w:p>
    <w:p w14:paraId="78C7F634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This SMA describes the mandatory requirements for the delivery condition, cleanliness, surface condition, documentation, and BULK/NON-BULK classification of components in plant engineering.</w:t>
      </w:r>
    </w:p>
    <w:p w14:paraId="2A3D201A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It is part of SMB's integrated management system (IMS).</w:t>
      </w:r>
    </w:p>
    <w:p w14:paraId="06055EFD" w14:textId="77777777" w:rsidR="007D1645" w:rsidRPr="007D1645" w:rsidRDefault="007D1645" w:rsidP="007D1645">
      <w:pPr>
        <w:rPr>
          <w:szCs w:val="20"/>
          <w:lang w:val="en-US"/>
        </w:rPr>
      </w:pPr>
    </w:p>
    <w:p w14:paraId="1719C5B6" w14:textId="77777777" w:rsidR="007D1645" w:rsidRPr="00C65065" w:rsidRDefault="007D1645" w:rsidP="007D1645">
      <w:pPr>
        <w:pStyle w:val="berschrift2"/>
      </w:pPr>
      <w:r>
        <w:t>Purpose</w:t>
      </w:r>
    </w:p>
    <w:p w14:paraId="52C29AA0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purpose of this instruction is to</w:t>
      </w:r>
    </w:p>
    <w:p w14:paraId="0EB2DF38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to establish uniform and binding requirements for suppliers,</w:t>
      </w:r>
    </w:p>
    <w:p w14:paraId="7F2A1AD1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Systematically avoiding quality defects before or upon delivery,</w:t>
      </w:r>
    </w:p>
    <w:p w14:paraId="0D53BBF7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ensuring compliance with project-specific, pharmaceutical, and life science-related requirements,</w:t>
      </w:r>
    </w:p>
    <w:p w14:paraId="605EA5E8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and create a clear basis for incoming goods inspection, complaint management, and supplier control.</w:t>
      </w:r>
    </w:p>
    <w:p w14:paraId="2A0F9172" w14:textId="77777777" w:rsidR="007D1645" w:rsidRPr="007D1645" w:rsidRDefault="007D1645" w:rsidP="007D1645">
      <w:pPr>
        <w:rPr>
          <w:szCs w:val="20"/>
          <w:lang w:val="en-US"/>
        </w:rPr>
      </w:pPr>
    </w:p>
    <w:p w14:paraId="324B85ED" w14:textId="77777777" w:rsidR="007D1645" w:rsidRPr="005D75BC" w:rsidRDefault="007D1645" w:rsidP="007D1645">
      <w:pPr>
        <w:pStyle w:val="berschrift2"/>
      </w:pPr>
      <w:proofErr w:type="spellStart"/>
      <w:r>
        <w:t>Objective</w:t>
      </w:r>
      <w:proofErr w:type="spellEnd"/>
    </w:p>
    <w:p w14:paraId="165DA1D4" w14:textId="77777777" w:rsidR="007D1645" w:rsidRPr="007D1645" w:rsidRDefault="007D1645" w:rsidP="007D1645">
      <w:pPr>
        <w:rPr>
          <w:szCs w:val="20"/>
          <w:lang w:val="en-US"/>
        </w:rPr>
      </w:pPr>
      <w:r w:rsidRPr="007D1645">
        <w:rPr>
          <w:szCs w:val="20"/>
          <w:lang w:val="en-US"/>
        </w:rPr>
        <w:t>The objective of this instruction is to ensure that:</w:t>
      </w:r>
    </w:p>
    <w:p w14:paraId="2115F57E" w14:textId="77777777" w:rsidR="007D1645" w:rsidRPr="007D1645" w:rsidRDefault="007D1645" w:rsidP="007D1645">
      <w:pPr>
        <w:numPr>
          <w:ilvl w:val="0"/>
          <w:numId w:val="2"/>
        </w:numPr>
        <w:rPr>
          <w:szCs w:val="20"/>
          <w:lang w:val="en-US"/>
        </w:rPr>
      </w:pPr>
      <w:r w:rsidRPr="007D1645">
        <w:rPr>
          <w:szCs w:val="20"/>
          <w:lang w:val="en-US"/>
        </w:rPr>
        <w:t>all delivered components are free of corrosion, damage, and contamination,</w:t>
      </w:r>
    </w:p>
    <w:p w14:paraId="6277B472" w14:textId="77777777" w:rsidR="007D1645" w:rsidRPr="007D1645" w:rsidRDefault="007D1645" w:rsidP="007D1645">
      <w:pPr>
        <w:numPr>
          <w:ilvl w:val="0"/>
          <w:numId w:val="2"/>
        </w:numPr>
        <w:rPr>
          <w:szCs w:val="20"/>
          <w:lang w:val="en-US"/>
        </w:rPr>
      </w:pPr>
      <w:r w:rsidRPr="007D1645">
        <w:rPr>
          <w:szCs w:val="20"/>
          <w:lang w:val="en-US"/>
        </w:rPr>
        <w:t>surface and cleanliness requirements are met,</w:t>
      </w:r>
    </w:p>
    <w:p w14:paraId="255252CE" w14:textId="77777777" w:rsidR="007D1645" w:rsidRPr="007D1645" w:rsidRDefault="007D1645" w:rsidP="007D1645">
      <w:pPr>
        <w:numPr>
          <w:ilvl w:val="0"/>
          <w:numId w:val="2"/>
        </w:numPr>
        <w:rPr>
          <w:szCs w:val="20"/>
          <w:lang w:val="en-US"/>
        </w:rPr>
      </w:pPr>
      <w:r w:rsidRPr="007D1645">
        <w:rPr>
          <w:szCs w:val="20"/>
          <w:lang w:val="en-US"/>
        </w:rPr>
        <w:t>packaging and transport have no negative impact on quality or function,</w:t>
      </w:r>
    </w:p>
    <w:p w14:paraId="623F770F" w14:textId="77777777" w:rsidR="007D1645" w:rsidRPr="007D1645" w:rsidRDefault="007D1645" w:rsidP="007D1645">
      <w:pPr>
        <w:numPr>
          <w:ilvl w:val="0"/>
          <w:numId w:val="2"/>
        </w:numPr>
        <w:rPr>
          <w:szCs w:val="20"/>
          <w:lang w:val="en-US"/>
        </w:rPr>
      </w:pPr>
      <w:r w:rsidRPr="007D1645">
        <w:rPr>
          <w:szCs w:val="20"/>
          <w:lang w:val="en-US"/>
        </w:rPr>
        <w:t>quality documentation is transmitted in a complete, correct, and machine-readable form,</w:t>
      </w:r>
    </w:p>
    <w:p w14:paraId="37C76C91" w14:textId="77777777" w:rsidR="007D1645" w:rsidRPr="007D1645" w:rsidRDefault="007D1645" w:rsidP="007D1645">
      <w:pPr>
        <w:numPr>
          <w:ilvl w:val="0"/>
          <w:numId w:val="2"/>
        </w:numPr>
        <w:rPr>
          <w:szCs w:val="20"/>
          <w:lang w:val="en-US"/>
        </w:rPr>
      </w:pPr>
      <w:r w:rsidRPr="007D1645">
        <w:rPr>
          <w:szCs w:val="20"/>
          <w:lang w:val="en-US"/>
        </w:rPr>
        <w:t>and that there is a clear assignment of material, order, position, and documentation.</w:t>
      </w:r>
    </w:p>
    <w:p w14:paraId="789CC2A6" w14:textId="77777777" w:rsidR="007D1645" w:rsidRPr="007D1645" w:rsidRDefault="007D1645" w:rsidP="007D1645">
      <w:pPr>
        <w:rPr>
          <w:szCs w:val="20"/>
          <w:lang w:val="en-US"/>
        </w:rPr>
      </w:pPr>
    </w:p>
    <w:p w14:paraId="30E4618D" w14:textId="77777777" w:rsidR="007D1645" w:rsidRDefault="007D1645" w:rsidP="007D1645">
      <w:pPr>
        <w:pStyle w:val="berschrift2"/>
      </w:pPr>
      <w:proofErr w:type="spellStart"/>
      <w:r>
        <w:t>Applicable</w:t>
      </w:r>
      <w:proofErr w:type="spellEnd"/>
      <w:r>
        <w:t xml:space="preserve"> </w:t>
      </w:r>
      <w:proofErr w:type="spellStart"/>
      <w:r>
        <w:t>documents</w:t>
      </w:r>
      <w:proofErr w:type="spellEnd"/>
    </w:p>
    <w:p w14:paraId="447F32D1" w14:textId="77777777" w:rsidR="007D1645" w:rsidRPr="000A2745" w:rsidRDefault="007D1645" w:rsidP="007D1645">
      <w:pPr>
        <w:numPr>
          <w:ilvl w:val="0"/>
          <w:numId w:val="14"/>
        </w:numPr>
        <w:jc w:val="left"/>
      </w:pPr>
      <w:r w:rsidRPr="000A2745">
        <w:t xml:space="preserve">SAP </w:t>
      </w:r>
      <w:proofErr w:type="spellStart"/>
      <w:r w:rsidRPr="000A2745">
        <w:t>standard</w:t>
      </w:r>
      <w:proofErr w:type="spellEnd"/>
      <w:r w:rsidRPr="000A2745">
        <w:t xml:space="preserve"> </w:t>
      </w:r>
      <w:proofErr w:type="spellStart"/>
      <w:r w:rsidRPr="000A2745">
        <w:t>order</w:t>
      </w:r>
      <w:proofErr w:type="spellEnd"/>
      <w:r w:rsidRPr="000A2745">
        <w:t xml:space="preserve"> </w:t>
      </w:r>
      <w:proofErr w:type="spellStart"/>
      <w:r w:rsidRPr="000A2745">
        <w:t>text</w:t>
      </w:r>
      <w:proofErr w:type="spellEnd"/>
      <w:r w:rsidRPr="000A2745">
        <w:t xml:space="preserve"> SMB</w:t>
      </w:r>
    </w:p>
    <w:p w14:paraId="5ECD5889" w14:textId="77777777" w:rsidR="007D1645" w:rsidRDefault="007D1645" w:rsidP="007D1645">
      <w:pPr>
        <w:numPr>
          <w:ilvl w:val="0"/>
          <w:numId w:val="14"/>
        </w:numPr>
        <w:jc w:val="left"/>
      </w:pPr>
      <w:proofErr w:type="spellStart"/>
      <w:r w:rsidRPr="000A2745">
        <w:t>Drawings</w:t>
      </w:r>
      <w:proofErr w:type="spellEnd"/>
      <w:r w:rsidRPr="000A2745">
        <w:t xml:space="preserve"> and </w:t>
      </w:r>
      <w:proofErr w:type="spellStart"/>
      <w:r w:rsidRPr="000A2745">
        <w:t>technical</w:t>
      </w:r>
      <w:proofErr w:type="spellEnd"/>
      <w:r w:rsidRPr="000A2745">
        <w:t xml:space="preserve"> </w:t>
      </w:r>
      <w:proofErr w:type="spellStart"/>
      <w:r w:rsidRPr="000A2745">
        <w:t>specifications</w:t>
      </w:r>
      <w:proofErr w:type="spellEnd"/>
    </w:p>
    <w:p w14:paraId="06CA6D18" w14:textId="77777777" w:rsidR="007D1645" w:rsidRPr="009B0071" w:rsidRDefault="007D1645" w:rsidP="007D1645">
      <w:pPr>
        <w:numPr>
          <w:ilvl w:val="0"/>
          <w:numId w:val="14"/>
        </w:numPr>
        <w:jc w:val="left"/>
      </w:pPr>
      <w:r>
        <w:t>Project-</w:t>
      </w:r>
      <w:proofErr w:type="spellStart"/>
      <w:r>
        <w:t>specific</w:t>
      </w:r>
      <w:proofErr w:type="spellEnd"/>
      <w:r>
        <w:t xml:space="preserve"> additional </w:t>
      </w:r>
      <w:proofErr w:type="spellStart"/>
      <w:r>
        <w:t>requirements</w:t>
      </w:r>
      <w:proofErr w:type="spellEnd"/>
    </w:p>
    <w:p w14:paraId="1EC7E5B9" w14:textId="77777777" w:rsidR="007D1645" w:rsidRDefault="007D1645" w:rsidP="007D1645">
      <w:pPr>
        <w:rPr>
          <w:szCs w:val="20"/>
          <w:lang w:val="en-US"/>
        </w:rPr>
      </w:pPr>
    </w:p>
    <w:p w14:paraId="75C49FED" w14:textId="77777777" w:rsidR="007D1645" w:rsidRPr="00B76356" w:rsidRDefault="007D1645" w:rsidP="007D1645">
      <w:pPr>
        <w:pStyle w:val="berschrift2"/>
      </w:pPr>
      <w:r w:rsidRPr="000A2745">
        <w:t>Terms</w:t>
      </w:r>
    </w:p>
    <w:p w14:paraId="1338505F" w14:textId="77777777" w:rsidR="007D1645" w:rsidRPr="00CB6910" w:rsidRDefault="007D1645" w:rsidP="007D1645">
      <w:pPr>
        <w:numPr>
          <w:ilvl w:val="0"/>
          <w:numId w:val="3"/>
        </w:numPr>
        <w:jc w:val="left"/>
        <w:rPr>
          <w:lang w:val="en-US"/>
        </w:rPr>
      </w:pPr>
      <w:r w:rsidRPr="00CB6910">
        <w:rPr>
          <w:lang w:val="en-US"/>
        </w:rPr>
        <w:t>Life science: Applications with increased requirements for cleanliness, surface quality, and freedom from contamination (e.g., pharmaceuticals, biotech).</w:t>
      </w:r>
    </w:p>
    <w:p w14:paraId="726FF6FE" w14:textId="77777777" w:rsidR="007D1645" w:rsidRPr="007D1645" w:rsidRDefault="007D1645" w:rsidP="007D1645">
      <w:pPr>
        <w:numPr>
          <w:ilvl w:val="0"/>
          <w:numId w:val="3"/>
        </w:numPr>
        <w:jc w:val="left"/>
        <w:rPr>
          <w:lang w:val="en-US"/>
        </w:rPr>
      </w:pPr>
      <w:r w:rsidRPr="007D1645">
        <w:rPr>
          <w:lang w:val="en-US"/>
        </w:rPr>
        <w:t>Visually flawless: Free from visible damage, corrosion, or surface defects.</w:t>
      </w:r>
    </w:p>
    <w:p w14:paraId="4C636E1A" w14:textId="77777777" w:rsidR="007D1645" w:rsidRPr="007D1645" w:rsidRDefault="007D1645" w:rsidP="007D1645">
      <w:pPr>
        <w:numPr>
          <w:ilvl w:val="0"/>
          <w:numId w:val="3"/>
        </w:numPr>
        <w:jc w:val="left"/>
        <w:rPr>
          <w:lang w:val="en-US"/>
        </w:rPr>
      </w:pPr>
      <w:r w:rsidRPr="007D1645">
        <w:rPr>
          <w:lang w:val="en-US"/>
        </w:rPr>
        <w:t>Roughness (Ra): Average surface roughness according to order, drawing, or specification.</w:t>
      </w:r>
    </w:p>
    <w:p w14:paraId="1D83B0CB" w14:textId="77777777" w:rsidR="007D1645" w:rsidRPr="007D1645" w:rsidRDefault="007D1645" w:rsidP="007D1645">
      <w:pPr>
        <w:rPr>
          <w:lang w:val="en-US"/>
        </w:rPr>
      </w:pPr>
    </w:p>
    <w:p w14:paraId="60220AF3" w14:textId="77777777" w:rsidR="007D1645" w:rsidRPr="00FC5EA7" w:rsidRDefault="007D1645" w:rsidP="007D1645">
      <w:pPr>
        <w:pStyle w:val="berschrift1"/>
      </w:pPr>
      <w:proofErr w:type="spellStart"/>
      <w:r w:rsidRPr="00B76356">
        <w:t>Requirements</w:t>
      </w:r>
      <w:proofErr w:type="spellEnd"/>
      <w:r w:rsidRPr="00B76356">
        <w:t xml:space="preserve"> </w:t>
      </w:r>
      <w:proofErr w:type="spellStart"/>
      <w:r w:rsidRPr="00B76356">
        <w:t>for</w:t>
      </w:r>
      <w:proofErr w:type="spellEnd"/>
      <w:r w:rsidRPr="00B76356">
        <w:t xml:space="preserve"> </w:t>
      </w:r>
      <w:proofErr w:type="spellStart"/>
      <w:r w:rsidRPr="00B76356">
        <w:t>the</w:t>
      </w:r>
      <w:proofErr w:type="spellEnd"/>
      <w:r w:rsidRPr="00B76356">
        <w:t xml:space="preserve"> </w:t>
      </w:r>
      <w:proofErr w:type="spellStart"/>
      <w:r w:rsidRPr="00B76356">
        <w:t>delivery</w:t>
      </w:r>
      <w:proofErr w:type="spellEnd"/>
      <w:r w:rsidRPr="00B76356">
        <w:t xml:space="preserve"> </w:t>
      </w:r>
      <w:proofErr w:type="spellStart"/>
      <w:r w:rsidRPr="00B76356">
        <w:t>condition</w:t>
      </w:r>
      <w:proofErr w:type="spellEnd"/>
    </w:p>
    <w:p w14:paraId="150AF6C1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All components must be delivered in a condition suitable for plant construction, clean and visually flawless.</w:t>
      </w:r>
    </w:p>
    <w:p w14:paraId="60A901DC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following are not permitted in particular:</w:t>
      </w:r>
    </w:p>
    <w:p w14:paraId="4EB93428" w14:textId="77777777" w:rsidR="007D1645" w:rsidRPr="007D1645" w:rsidRDefault="007D1645" w:rsidP="007D1645">
      <w:pPr>
        <w:numPr>
          <w:ilvl w:val="0"/>
          <w:numId w:val="4"/>
        </w:numPr>
        <w:jc w:val="left"/>
        <w:rPr>
          <w:lang w:val="en-US"/>
        </w:rPr>
      </w:pPr>
      <w:r w:rsidRPr="007D1645">
        <w:rPr>
          <w:lang w:val="en-US"/>
        </w:rPr>
        <w:t>Dents, scratches, nicks, grinding or scuff marks,</w:t>
      </w:r>
    </w:p>
    <w:p w14:paraId="3212B734" w14:textId="77777777" w:rsidR="007D1645" w:rsidRPr="000A2745" w:rsidRDefault="007D1645" w:rsidP="007D1645">
      <w:pPr>
        <w:numPr>
          <w:ilvl w:val="0"/>
          <w:numId w:val="4"/>
        </w:numPr>
        <w:jc w:val="left"/>
      </w:pPr>
      <w:proofErr w:type="spellStart"/>
      <w:r w:rsidRPr="000A2745">
        <w:t>corrosion</w:t>
      </w:r>
      <w:proofErr w:type="spellEnd"/>
      <w:r w:rsidRPr="000A2745">
        <w:t xml:space="preserve"> </w:t>
      </w:r>
      <w:proofErr w:type="spellStart"/>
      <w:r w:rsidRPr="000A2745">
        <w:t>or</w:t>
      </w:r>
      <w:proofErr w:type="spellEnd"/>
      <w:r w:rsidRPr="000A2745">
        <w:t xml:space="preserve"> </w:t>
      </w:r>
      <w:proofErr w:type="spellStart"/>
      <w:r w:rsidRPr="000A2745">
        <w:t>oxidation</w:t>
      </w:r>
      <w:proofErr w:type="spellEnd"/>
      <w:r w:rsidRPr="000A2745">
        <w:t>,</w:t>
      </w:r>
    </w:p>
    <w:p w14:paraId="130B031C" w14:textId="77777777" w:rsidR="007D1645" w:rsidRPr="007D1645" w:rsidRDefault="007D1645" w:rsidP="007D1645">
      <w:pPr>
        <w:numPr>
          <w:ilvl w:val="0"/>
          <w:numId w:val="4"/>
        </w:numPr>
        <w:jc w:val="left"/>
        <w:rPr>
          <w:lang w:val="en-US"/>
        </w:rPr>
      </w:pPr>
      <w:r w:rsidRPr="007D1645">
        <w:rPr>
          <w:lang w:val="en-US"/>
        </w:rPr>
        <w:t>Contamination from manufacturing, processing, or cleaning.</w:t>
      </w:r>
    </w:p>
    <w:p w14:paraId="28830C02" w14:textId="77777777" w:rsidR="007D1645" w:rsidRPr="007D1645" w:rsidRDefault="007D1645" w:rsidP="007D1645">
      <w:pPr>
        <w:spacing w:after="60"/>
        <w:rPr>
          <w:rFonts w:cs="Arial"/>
          <w:szCs w:val="20"/>
          <w:lang w:val="en-US"/>
        </w:rPr>
      </w:pPr>
    </w:p>
    <w:p w14:paraId="46708377" w14:textId="77777777" w:rsidR="007D1645" w:rsidRPr="00FC5EA7" w:rsidRDefault="007D1645" w:rsidP="007D1645">
      <w:pPr>
        <w:pStyle w:val="berschrift2"/>
      </w:pPr>
      <w:proofErr w:type="spellStart"/>
      <w:r w:rsidRPr="006466D2">
        <w:t>Electropolished</w:t>
      </w:r>
      <w:proofErr w:type="spellEnd"/>
      <w:r w:rsidRPr="006466D2">
        <w:t xml:space="preserve"> </w:t>
      </w:r>
      <w:proofErr w:type="spellStart"/>
      <w:r w:rsidRPr="006466D2">
        <w:t>pipes</w:t>
      </w:r>
      <w:proofErr w:type="spellEnd"/>
      <w:r w:rsidRPr="006466D2">
        <w:t xml:space="preserve"> and </w:t>
      </w:r>
      <w:proofErr w:type="spellStart"/>
      <w:r w:rsidRPr="006466D2">
        <w:t>tubing</w:t>
      </w:r>
      <w:proofErr w:type="spellEnd"/>
    </w:p>
    <w:p w14:paraId="657044CB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following applies to electropolished pipes and tubes:</w:t>
      </w:r>
    </w:p>
    <w:p w14:paraId="1F0C1469" w14:textId="77777777" w:rsidR="007D1645" w:rsidRPr="007D1645" w:rsidRDefault="007D1645" w:rsidP="007D1645">
      <w:pPr>
        <w:numPr>
          <w:ilvl w:val="0"/>
          <w:numId w:val="5"/>
        </w:numPr>
        <w:jc w:val="left"/>
        <w:rPr>
          <w:lang w:val="en-US"/>
        </w:rPr>
      </w:pPr>
      <w:r w:rsidRPr="007D1645">
        <w:rPr>
          <w:lang w:val="en-US"/>
        </w:rPr>
        <w:t>All pipe ends must be sealed tightly (e.g., with caps or plugs).</w:t>
      </w:r>
    </w:p>
    <w:p w14:paraId="2D77D2DE" w14:textId="77777777" w:rsidR="007D1645" w:rsidRPr="007D1645" w:rsidRDefault="007D1645" w:rsidP="007D1645">
      <w:pPr>
        <w:numPr>
          <w:ilvl w:val="0"/>
          <w:numId w:val="5"/>
        </w:numPr>
        <w:jc w:val="left"/>
        <w:rPr>
          <w:lang w:val="en-US"/>
        </w:rPr>
      </w:pPr>
      <w:r w:rsidRPr="007D1645">
        <w:rPr>
          <w:lang w:val="en-US"/>
        </w:rPr>
        <w:t>The closure must reliably prevent the ingress of dirt, moisture, and foreign substances.</w:t>
      </w:r>
    </w:p>
    <w:p w14:paraId="68E15681" w14:textId="77777777" w:rsidR="007D1645" w:rsidRPr="007D1645" w:rsidRDefault="007D1645" w:rsidP="007D1645">
      <w:pPr>
        <w:numPr>
          <w:ilvl w:val="0"/>
          <w:numId w:val="5"/>
        </w:numPr>
        <w:jc w:val="left"/>
        <w:rPr>
          <w:lang w:val="en-US"/>
        </w:rPr>
      </w:pPr>
      <w:r w:rsidRPr="007D1645">
        <w:rPr>
          <w:lang w:val="en-US"/>
        </w:rPr>
        <w:t>Open or unprotected pipe ends are not permitted.</w:t>
      </w:r>
    </w:p>
    <w:p w14:paraId="27C0741F" w14:textId="77777777" w:rsidR="007D1645" w:rsidRPr="007D1645" w:rsidRDefault="007D1645" w:rsidP="007D1645">
      <w:pPr>
        <w:pStyle w:val="Listenabsatz"/>
        <w:tabs>
          <w:tab w:val="left" w:pos="567"/>
        </w:tabs>
        <w:ind w:left="1276"/>
        <w:rPr>
          <w:rFonts w:cs="Arial"/>
          <w:szCs w:val="20"/>
          <w:lang w:val="en-US"/>
        </w:rPr>
      </w:pPr>
    </w:p>
    <w:p w14:paraId="1D339A43" w14:textId="77777777" w:rsidR="007D1645" w:rsidRPr="000A2745" w:rsidRDefault="007D1645" w:rsidP="007D1645">
      <w:pPr>
        <w:pStyle w:val="berschrift2"/>
      </w:pPr>
      <w:proofErr w:type="spellStart"/>
      <w:r w:rsidRPr="000A2745">
        <w:t>Cleanliness</w:t>
      </w:r>
      <w:proofErr w:type="spellEnd"/>
      <w:r w:rsidRPr="000A2745">
        <w:t xml:space="preserve"> </w:t>
      </w:r>
      <w:proofErr w:type="spellStart"/>
      <w:r w:rsidRPr="000A2745">
        <w:t>requirements</w:t>
      </w:r>
      <w:proofErr w:type="spellEnd"/>
      <w:r w:rsidRPr="000A2745">
        <w:t xml:space="preserve"> (</w:t>
      </w:r>
      <w:proofErr w:type="spellStart"/>
      <w:r w:rsidRPr="000A2745">
        <w:t>life</w:t>
      </w:r>
      <w:proofErr w:type="spellEnd"/>
      <w:r w:rsidRPr="000A2745">
        <w:t xml:space="preserve"> </w:t>
      </w:r>
      <w:proofErr w:type="spellStart"/>
      <w:r w:rsidRPr="000A2745">
        <w:t>sciences</w:t>
      </w:r>
      <w:proofErr w:type="spellEnd"/>
      <w:r w:rsidRPr="000A2745">
        <w:t>)</w:t>
      </w:r>
    </w:p>
    <w:p w14:paraId="5FB1BD60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following applies to life science and quality-critical applications:</w:t>
      </w:r>
    </w:p>
    <w:p w14:paraId="40BAFF31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components must be free of:</w:t>
      </w:r>
    </w:p>
    <w:p w14:paraId="60DCC32E" w14:textId="77777777" w:rsidR="007D1645" w:rsidRPr="000A2745" w:rsidRDefault="007D1645" w:rsidP="007D1645">
      <w:pPr>
        <w:numPr>
          <w:ilvl w:val="0"/>
          <w:numId w:val="6"/>
        </w:numPr>
        <w:jc w:val="left"/>
      </w:pPr>
      <w:r w:rsidRPr="000A2745">
        <w:t xml:space="preserve">Oil, </w:t>
      </w:r>
      <w:proofErr w:type="spellStart"/>
      <w:r w:rsidRPr="000A2745">
        <w:t>grease</w:t>
      </w:r>
      <w:proofErr w:type="spellEnd"/>
      <w:r w:rsidRPr="000A2745">
        <w:t>,</w:t>
      </w:r>
    </w:p>
    <w:p w14:paraId="1038A763" w14:textId="77777777" w:rsidR="007D1645" w:rsidRPr="000A2745" w:rsidRDefault="007D1645" w:rsidP="007D1645">
      <w:pPr>
        <w:numPr>
          <w:ilvl w:val="0"/>
          <w:numId w:val="6"/>
        </w:numPr>
        <w:jc w:val="left"/>
      </w:pPr>
      <w:proofErr w:type="spellStart"/>
      <w:r w:rsidRPr="000A2745">
        <w:t>chips</w:t>
      </w:r>
      <w:proofErr w:type="spellEnd"/>
      <w:r w:rsidRPr="000A2745">
        <w:t xml:space="preserve">, </w:t>
      </w:r>
      <w:proofErr w:type="spellStart"/>
      <w:r w:rsidRPr="000A2745">
        <w:t>metal</w:t>
      </w:r>
      <w:proofErr w:type="spellEnd"/>
      <w:r w:rsidRPr="000A2745">
        <w:t xml:space="preserve"> </w:t>
      </w:r>
      <w:proofErr w:type="spellStart"/>
      <w:r w:rsidRPr="000A2745">
        <w:t>abrasion</w:t>
      </w:r>
      <w:proofErr w:type="spellEnd"/>
      <w:r w:rsidRPr="000A2745">
        <w:t>,</w:t>
      </w:r>
    </w:p>
    <w:p w14:paraId="687A351D" w14:textId="77777777" w:rsidR="007D1645" w:rsidRPr="000A2745" w:rsidRDefault="007D1645" w:rsidP="007D1645">
      <w:pPr>
        <w:numPr>
          <w:ilvl w:val="0"/>
          <w:numId w:val="6"/>
        </w:numPr>
        <w:jc w:val="left"/>
      </w:pPr>
      <w:proofErr w:type="spellStart"/>
      <w:r w:rsidRPr="000A2745">
        <w:t>dust</w:t>
      </w:r>
      <w:proofErr w:type="spellEnd"/>
      <w:r w:rsidRPr="000A2745">
        <w:t xml:space="preserve">, </w:t>
      </w:r>
      <w:proofErr w:type="spellStart"/>
      <w:r w:rsidRPr="000A2745">
        <w:t>particles</w:t>
      </w:r>
      <w:proofErr w:type="spellEnd"/>
      <w:r w:rsidRPr="000A2745">
        <w:t>,</w:t>
      </w:r>
    </w:p>
    <w:p w14:paraId="3354838F" w14:textId="77777777" w:rsidR="007D1645" w:rsidRPr="007D1645" w:rsidRDefault="007D1645" w:rsidP="007D1645">
      <w:pPr>
        <w:numPr>
          <w:ilvl w:val="0"/>
          <w:numId w:val="6"/>
        </w:numPr>
        <w:jc w:val="left"/>
        <w:rPr>
          <w:lang w:val="en-US"/>
        </w:rPr>
      </w:pPr>
      <w:r w:rsidRPr="007D1645">
        <w:rPr>
          <w:lang w:val="en-US"/>
        </w:rPr>
        <w:t>cleaning agent or chemical residues,</w:t>
      </w:r>
    </w:p>
    <w:p w14:paraId="4C47DF9D" w14:textId="77777777" w:rsidR="007D1645" w:rsidRPr="000A2745" w:rsidRDefault="007D1645" w:rsidP="007D1645">
      <w:pPr>
        <w:numPr>
          <w:ilvl w:val="0"/>
          <w:numId w:val="6"/>
        </w:numPr>
        <w:jc w:val="left"/>
      </w:pPr>
      <w:proofErr w:type="spellStart"/>
      <w:r w:rsidRPr="000A2745">
        <w:t>other</w:t>
      </w:r>
      <w:proofErr w:type="spellEnd"/>
      <w:r w:rsidRPr="000A2745">
        <w:t xml:space="preserve"> </w:t>
      </w:r>
      <w:proofErr w:type="spellStart"/>
      <w:r w:rsidRPr="000A2745">
        <w:t>contaminants</w:t>
      </w:r>
      <w:proofErr w:type="spellEnd"/>
      <w:r w:rsidRPr="000A2745">
        <w:t>.</w:t>
      </w:r>
    </w:p>
    <w:p w14:paraId="7C5A5BA1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components must be suitable for use in life science, pharmaceutical, or clean room applications.</w:t>
      </w:r>
    </w:p>
    <w:p w14:paraId="317A2846" w14:textId="77777777" w:rsidR="007D1645" w:rsidRPr="007D1645" w:rsidRDefault="007D1645" w:rsidP="007D1645">
      <w:pPr>
        <w:rPr>
          <w:lang w:val="en-US"/>
        </w:rPr>
      </w:pPr>
    </w:p>
    <w:p w14:paraId="3667D7C7" w14:textId="77777777" w:rsidR="007D1645" w:rsidRPr="000A2745" w:rsidRDefault="007D1645" w:rsidP="007D1645">
      <w:pPr>
        <w:pStyle w:val="berschrift2"/>
      </w:pPr>
      <w:r w:rsidRPr="000A2745">
        <w:t xml:space="preserve">Surface </w:t>
      </w:r>
      <w:proofErr w:type="spellStart"/>
      <w:r w:rsidRPr="000A2745">
        <w:t>requirements</w:t>
      </w:r>
      <w:proofErr w:type="spellEnd"/>
    </w:p>
    <w:p w14:paraId="48CDB8AC" w14:textId="77777777" w:rsidR="007D1645" w:rsidRPr="007D1645" w:rsidRDefault="007D1645" w:rsidP="007D1645">
      <w:pPr>
        <w:numPr>
          <w:ilvl w:val="0"/>
          <w:numId w:val="7"/>
        </w:numPr>
        <w:jc w:val="left"/>
        <w:rPr>
          <w:lang w:val="en-US"/>
        </w:rPr>
      </w:pPr>
      <w:r w:rsidRPr="007D1645">
        <w:rPr>
          <w:lang w:val="en-US"/>
        </w:rPr>
        <w:t>The required surface quality/roughness (Ra values) as specified in the order, drawing, or technical specification must be strictly adhered to.</w:t>
      </w:r>
    </w:p>
    <w:p w14:paraId="17326DFC" w14:textId="77777777" w:rsidR="007D1645" w:rsidRPr="007D1645" w:rsidRDefault="007D1645" w:rsidP="007D1645">
      <w:pPr>
        <w:numPr>
          <w:ilvl w:val="0"/>
          <w:numId w:val="7"/>
        </w:numPr>
        <w:jc w:val="left"/>
        <w:rPr>
          <w:lang w:val="en-US"/>
        </w:rPr>
      </w:pPr>
      <w:r w:rsidRPr="007D1645">
        <w:rPr>
          <w:lang w:val="en-US"/>
        </w:rPr>
        <w:t>Scratches, pits, pores, corrosion spots, or surface defects that impair cleaning, qualification, or function are not permitted.</w:t>
      </w:r>
    </w:p>
    <w:p w14:paraId="04B22BAD" w14:textId="77777777" w:rsidR="007D1645" w:rsidRPr="007D1645" w:rsidRDefault="007D1645" w:rsidP="007D1645">
      <w:pPr>
        <w:pStyle w:val="berschrift2"/>
        <w:rPr>
          <w:lang w:val="en-US"/>
        </w:rPr>
      </w:pPr>
      <w:r w:rsidRPr="007D1645">
        <w:rPr>
          <w:lang w:val="en-US"/>
        </w:rPr>
        <w:t>Valves, fittings, and media-carrying components</w:t>
      </w:r>
    </w:p>
    <w:p w14:paraId="42423821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 xml:space="preserve">Valves, fittings, and comparable media-carrying components must be delivered in a functional and ready-to-install condition. For pre-assembled units, the requirements apply to the entire </w:t>
      </w:r>
    </w:p>
    <w:p w14:paraId="0170313E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assembly.</w:t>
      </w:r>
    </w:p>
    <w:p w14:paraId="481DD68A" w14:textId="77777777" w:rsidR="007D1645" w:rsidRPr="007D1645" w:rsidRDefault="007D1645" w:rsidP="007D1645">
      <w:pPr>
        <w:rPr>
          <w:lang w:val="en-US"/>
        </w:rPr>
      </w:pPr>
    </w:p>
    <w:p w14:paraId="3BBC3CC2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In addition, the following points must be observed:</w:t>
      </w:r>
    </w:p>
    <w:p w14:paraId="3F73AE80" w14:textId="77777777" w:rsidR="007D1645" w:rsidRPr="007D1645" w:rsidRDefault="007D1645" w:rsidP="007D1645">
      <w:pPr>
        <w:pStyle w:val="Listenabsatz"/>
        <w:numPr>
          <w:ilvl w:val="0"/>
          <w:numId w:val="8"/>
        </w:numPr>
        <w:jc w:val="left"/>
        <w:rPr>
          <w:lang w:val="en-US"/>
        </w:rPr>
      </w:pPr>
      <w:r w:rsidRPr="007D1645">
        <w:rPr>
          <w:lang w:val="en-US"/>
        </w:rPr>
        <w:t>Internal and external surfaces must be delivered clean.</w:t>
      </w:r>
    </w:p>
    <w:p w14:paraId="53FA3E0A" w14:textId="77777777" w:rsidR="007D1645" w:rsidRPr="007D1645" w:rsidRDefault="007D1645" w:rsidP="007D1645">
      <w:pPr>
        <w:pStyle w:val="Listenabsatz"/>
        <w:numPr>
          <w:ilvl w:val="0"/>
          <w:numId w:val="8"/>
        </w:numPr>
        <w:jc w:val="left"/>
        <w:rPr>
          <w:lang w:val="en-US"/>
        </w:rPr>
      </w:pPr>
      <w:r w:rsidRPr="007D1645">
        <w:rPr>
          <w:lang w:val="en-US"/>
        </w:rPr>
        <w:t>All openings that come into contact with media must be tightly sealed.</w:t>
      </w:r>
    </w:p>
    <w:p w14:paraId="422AE1CB" w14:textId="77777777" w:rsidR="007D1645" w:rsidRPr="007D1645" w:rsidRDefault="007D1645" w:rsidP="007D1645">
      <w:pPr>
        <w:pStyle w:val="Listenabsatz"/>
        <w:numPr>
          <w:ilvl w:val="0"/>
          <w:numId w:val="8"/>
        </w:numPr>
        <w:jc w:val="left"/>
        <w:rPr>
          <w:lang w:val="en-US"/>
        </w:rPr>
      </w:pPr>
      <w:r w:rsidRPr="007D1645">
        <w:rPr>
          <w:lang w:val="en-US"/>
        </w:rPr>
        <w:t>All required surface qualities (e.g., roughness) must be strictly adhered to.</w:t>
      </w:r>
    </w:p>
    <w:p w14:paraId="022512A0" w14:textId="77777777" w:rsidR="007D1645" w:rsidRPr="007D1645" w:rsidRDefault="007D1645" w:rsidP="007D1645">
      <w:pPr>
        <w:pStyle w:val="Listenabsatz"/>
        <w:numPr>
          <w:ilvl w:val="0"/>
          <w:numId w:val="8"/>
        </w:numPr>
        <w:jc w:val="left"/>
        <w:rPr>
          <w:lang w:val="en-US"/>
        </w:rPr>
      </w:pPr>
      <w:r w:rsidRPr="007D1645">
        <w:rPr>
          <w:lang w:val="en-US"/>
        </w:rPr>
        <w:t>Bulk material: Series-based, interchangeable components.</w:t>
      </w:r>
    </w:p>
    <w:p w14:paraId="63482A7D" w14:textId="77777777" w:rsidR="007D1645" w:rsidRPr="007D1645" w:rsidRDefault="007D1645" w:rsidP="007D1645">
      <w:pPr>
        <w:pStyle w:val="Listenabsatz"/>
        <w:numPr>
          <w:ilvl w:val="0"/>
          <w:numId w:val="8"/>
        </w:numPr>
        <w:jc w:val="left"/>
        <w:rPr>
          <w:lang w:val="en-US"/>
        </w:rPr>
      </w:pPr>
      <w:r w:rsidRPr="007D1645">
        <w:rPr>
          <w:lang w:val="en-US"/>
        </w:rPr>
        <w:t>Non-bulk material: Project-critical, function-related components with increased documentation requirements.</w:t>
      </w:r>
    </w:p>
    <w:p w14:paraId="6292D740" w14:textId="77777777" w:rsidR="007D1645" w:rsidRPr="007D1645" w:rsidRDefault="007D1645" w:rsidP="007D1645">
      <w:pPr>
        <w:pStyle w:val="Listenabsatz"/>
        <w:rPr>
          <w:lang w:val="en-US"/>
        </w:rPr>
      </w:pPr>
    </w:p>
    <w:p w14:paraId="36589AED" w14:textId="77777777" w:rsidR="007D1645" w:rsidRPr="007D1645" w:rsidRDefault="007D1645" w:rsidP="007D1645">
      <w:pPr>
        <w:pStyle w:val="berschrift2"/>
        <w:rPr>
          <w:lang w:val="en-US"/>
        </w:rPr>
      </w:pPr>
      <w:r w:rsidRPr="007D1645">
        <w:rPr>
          <w:lang w:val="en-US"/>
        </w:rPr>
        <w:t>Skids, assemblies, and modules made of stainless steel (brushed surfaces)</w:t>
      </w:r>
    </w:p>
    <w:p w14:paraId="003C466D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 xml:space="preserve">The following applies to skids, assemblies, and modules with brushed </w:t>
      </w:r>
      <w:proofErr w:type="gramStart"/>
      <w:r w:rsidRPr="007D1645">
        <w:rPr>
          <w:lang w:val="en-US"/>
        </w:rPr>
        <w:t>stainless steel</w:t>
      </w:r>
      <w:proofErr w:type="gramEnd"/>
      <w:r w:rsidRPr="007D1645">
        <w:rPr>
          <w:lang w:val="en-US"/>
        </w:rPr>
        <w:t xml:space="preserve"> surfaces (e.g., AISI 304/316L):</w:t>
      </w:r>
    </w:p>
    <w:p w14:paraId="23666C49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The surfaces must be delivered in perfect visual condition.</w:t>
      </w:r>
    </w:p>
    <w:p w14:paraId="2B54F833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Scratches, grinding marks, pressure marks, or scuffs are not permitted.</w:t>
      </w:r>
    </w:p>
    <w:p w14:paraId="75C28FEB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The defined degree of brushing/grinding must remain uniform and unchanged.</w:t>
      </w:r>
    </w:p>
    <w:p w14:paraId="441830F1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Surfaces must be protected so that no damage occurs during transport, handling, and storage.</w:t>
      </w:r>
    </w:p>
    <w:p w14:paraId="6F1A7014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Protective films must not be damaged or removed upon delivery.</w:t>
      </w:r>
    </w:p>
    <w:p w14:paraId="644AA9FF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Surfaces are evaluated in daylight or diffuse light.</w:t>
      </w:r>
    </w:p>
    <w:p w14:paraId="1F6889DC" w14:textId="77777777" w:rsidR="007D1645" w:rsidRPr="007D1645" w:rsidRDefault="007D1645" w:rsidP="007D1645">
      <w:pPr>
        <w:numPr>
          <w:ilvl w:val="0"/>
          <w:numId w:val="9"/>
        </w:numPr>
        <w:jc w:val="left"/>
        <w:rPr>
          <w:lang w:val="en-US"/>
        </w:rPr>
      </w:pPr>
      <w:r w:rsidRPr="007D1645">
        <w:rPr>
          <w:lang w:val="en-US"/>
        </w:rPr>
        <w:t>Even purely visual deviations are considered quality defects in the pharmaceutical/life sciences sector.</w:t>
      </w:r>
    </w:p>
    <w:p w14:paraId="087D77D2" w14:textId="77777777" w:rsidR="007D1645" w:rsidRPr="007D1645" w:rsidRDefault="007D1645" w:rsidP="007D1645">
      <w:pPr>
        <w:rPr>
          <w:szCs w:val="20"/>
          <w:lang w:val="en-US"/>
        </w:rPr>
      </w:pPr>
    </w:p>
    <w:p w14:paraId="506A5DEC" w14:textId="77777777" w:rsidR="007D1645" w:rsidRPr="000A2745" w:rsidRDefault="007D1645" w:rsidP="007D1645">
      <w:pPr>
        <w:pStyle w:val="berschrift1"/>
        <w:ind w:left="431" w:hanging="431"/>
      </w:pPr>
      <w:proofErr w:type="spellStart"/>
      <w:r w:rsidRPr="000A2745">
        <w:t>Packaging</w:t>
      </w:r>
      <w:proofErr w:type="spellEnd"/>
    </w:p>
    <w:p w14:paraId="1BA20E23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Packaging and transport must be carried out in such a way that corrosion, contamination, and mechanical damage are ruled out under all normal transport conditions, especially in winter road conditions (salt spray).</w:t>
      </w:r>
    </w:p>
    <w:p w14:paraId="330521AB" w14:textId="77777777" w:rsidR="007D1645" w:rsidRPr="007D1645" w:rsidRDefault="007D1645" w:rsidP="007D1645">
      <w:pPr>
        <w:rPr>
          <w:lang w:val="en-US"/>
        </w:rPr>
      </w:pPr>
    </w:p>
    <w:p w14:paraId="66E96580" w14:textId="77777777" w:rsidR="007D1645" w:rsidRPr="007D1645" w:rsidRDefault="007D1645" w:rsidP="007D1645">
      <w:pPr>
        <w:pStyle w:val="berschrift2"/>
        <w:rPr>
          <w:lang w:val="en-US"/>
        </w:rPr>
      </w:pPr>
      <w:r w:rsidRPr="007D1645">
        <w:rPr>
          <w:lang w:val="en-US"/>
        </w:rPr>
        <w:t>Protection against weather and environmental influences</w:t>
      </w:r>
    </w:p>
    <w:p w14:paraId="22E7CB2D" w14:textId="77777777" w:rsidR="007D1645" w:rsidRPr="007D1645" w:rsidRDefault="007D1645" w:rsidP="007D1645">
      <w:pPr>
        <w:numPr>
          <w:ilvl w:val="0"/>
          <w:numId w:val="10"/>
        </w:numPr>
        <w:jc w:val="left"/>
        <w:rPr>
          <w:lang w:val="en-US"/>
        </w:rPr>
      </w:pPr>
      <w:r w:rsidRPr="007D1645">
        <w:rPr>
          <w:lang w:val="en-US"/>
        </w:rPr>
        <w:t>Components, assemblies, and skids must be transported fully protected against weather influences.</w:t>
      </w:r>
    </w:p>
    <w:p w14:paraId="316A3180" w14:textId="77777777" w:rsidR="007D1645" w:rsidRPr="007D1645" w:rsidRDefault="007D1645" w:rsidP="007D1645">
      <w:pPr>
        <w:numPr>
          <w:ilvl w:val="0"/>
          <w:numId w:val="10"/>
        </w:numPr>
        <w:jc w:val="left"/>
        <w:rPr>
          <w:lang w:val="en-US"/>
        </w:rPr>
      </w:pPr>
      <w:r w:rsidRPr="007D1645">
        <w:rPr>
          <w:lang w:val="en-US"/>
        </w:rPr>
        <w:t>Transport without adequate weather protection (e.g., open truck without tarpaulin or closed body) is not permitted unless equivalent protective measures can be demonstrably ensured.</w:t>
      </w:r>
    </w:p>
    <w:p w14:paraId="51F9BF29" w14:textId="77777777" w:rsidR="007D1645" w:rsidRPr="007D1645" w:rsidRDefault="007D1645" w:rsidP="007D1645">
      <w:pPr>
        <w:numPr>
          <w:ilvl w:val="0"/>
          <w:numId w:val="10"/>
        </w:numPr>
        <w:jc w:val="left"/>
        <w:rPr>
          <w:lang w:val="en-US"/>
        </w:rPr>
      </w:pPr>
      <w:r w:rsidRPr="007D1645">
        <w:rPr>
          <w:lang w:val="en-US"/>
        </w:rPr>
        <w:t>Packaging must be designed in such a way that no water or salty liquids can collect under protective films.</w:t>
      </w:r>
    </w:p>
    <w:p w14:paraId="7527628E" w14:textId="77777777" w:rsidR="007D1645" w:rsidRPr="007D1645" w:rsidRDefault="007D1645" w:rsidP="007D1645">
      <w:pPr>
        <w:numPr>
          <w:ilvl w:val="0"/>
          <w:numId w:val="10"/>
        </w:numPr>
        <w:jc w:val="left"/>
        <w:rPr>
          <w:lang w:val="en-US"/>
        </w:rPr>
      </w:pPr>
      <w:r w:rsidRPr="007D1645">
        <w:rPr>
          <w:lang w:val="en-US"/>
        </w:rPr>
        <w:t>Protective films must not be damaged or loosened by airflow or transport movements.</w:t>
      </w:r>
    </w:p>
    <w:p w14:paraId="02FCD98D" w14:textId="77777777" w:rsidR="007D1645" w:rsidRPr="007D1645" w:rsidRDefault="007D1645" w:rsidP="007D1645">
      <w:pPr>
        <w:rPr>
          <w:lang w:val="en-US"/>
        </w:rPr>
      </w:pPr>
    </w:p>
    <w:p w14:paraId="3932A25B" w14:textId="77777777" w:rsidR="007D1645" w:rsidRPr="006466D2" w:rsidRDefault="007D1645" w:rsidP="007D1645">
      <w:pPr>
        <w:pStyle w:val="berschrift2"/>
      </w:pPr>
      <w:proofErr w:type="spellStart"/>
      <w:r w:rsidRPr="006466D2">
        <w:t>Corrosion</w:t>
      </w:r>
      <w:proofErr w:type="spellEnd"/>
      <w:r w:rsidRPr="006466D2">
        <w:t xml:space="preserve"> </w:t>
      </w:r>
      <w:proofErr w:type="spellStart"/>
      <w:r w:rsidRPr="006466D2">
        <w:t>protection</w:t>
      </w:r>
      <w:proofErr w:type="spellEnd"/>
    </w:p>
    <w:p w14:paraId="668B5660" w14:textId="77777777" w:rsidR="007D1645" w:rsidRPr="007D1645" w:rsidRDefault="007D1645" w:rsidP="007D1645">
      <w:pPr>
        <w:numPr>
          <w:ilvl w:val="0"/>
          <w:numId w:val="11"/>
        </w:numPr>
        <w:jc w:val="left"/>
        <w:rPr>
          <w:lang w:val="en-US"/>
        </w:rPr>
      </w:pPr>
      <w:r w:rsidRPr="007D1645">
        <w:rPr>
          <w:lang w:val="en-US"/>
        </w:rPr>
        <w:t>Stainless steel components must be protected in such a way that contact with salty moisture is impossible.</w:t>
      </w:r>
    </w:p>
    <w:p w14:paraId="0A7D7F23" w14:textId="77777777" w:rsidR="007D1645" w:rsidRPr="007D1645" w:rsidRDefault="007D1645" w:rsidP="007D1645">
      <w:pPr>
        <w:numPr>
          <w:ilvl w:val="0"/>
          <w:numId w:val="11"/>
        </w:numPr>
        <w:jc w:val="left"/>
        <w:rPr>
          <w:lang w:val="en-US"/>
        </w:rPr>
      </w:pPr>
      <w:r w:rsidRPr="007D1645">
        <w:rPr>
          <w:lang w:val="en-US"/>
        </w:rPr>
        <w:t>Initial signs of corrosion upon delivery are considered a quality defect.</w:t>
      </w:r>
    </w:p>
    <w:p w14:paraId="0B832887" w14:textId="77777777" w:rsidR="007D1645" w:rsidRPr="007D1645" w:rsidRDefault="007D1645" w:rsidP="007D1645">
      <w:pPr>
        <w:ind w:left="720"/>
        <w:rPr>
          <w:lang w:val="en-US"/>
        </w:rPr>
      </w:pPr>
    </w:p>
    <w:p w14:paraId="41B6691B" w14:textId="77777777" w:rsidR="007D1645" w:rsidRPr="007D1645" w:rsidRDefault="007D1645" w:rsidP="007D1645">
      <w:pPr>
        <w:rPr>
          <w:lang w:val="en-US"/>
        </w:rPr>
      </w:pPr>
    </w:p>
    <w:p w14:paraId="0DEB1524" w14:textId="77777777" w:rsidR="007D1645" w:rsidRPr="000A2745" w:rsidRDefault="007D1645" w:rsidP="007D1645">
      <w:pPr>
        <w:pStyle w:val="berschrift2"/>
      </w:pPr>
      <w:r w:rsidRPr="000A2745">
        <w:t>Transport-</w:t>
      </w:r>
      <w:proofErr w:type="spellStart"/>
      <w:r w:rsidRPr="000A2745">
        <w:t>related</w:t>
      </w:r>
      <w:proofErr w:type="spellEnd"/>
      <w:r w:rsidRPr="000A2745">
        <w:t xml:space="preserve"> </w:t>
      </w:r>
      <w:proofErr w:type="spellStart"/>
      <w:r w:rsidRPr="000A2745">
        <w:t>damage</w:t>
      </w:r>
      <w:proofErr w:type="spellEnd"/>
    </w:p>
    <w:p w14:paraId="0E96C1E0" w14:textId="77777777" w:rsidR="007D1645" w:rsidRPr="007D1645" w:rsidRDefault="007D1645" w:rsidP="007D1645">
      <w:pPr>
        <w:numPr>
          <w:ilvl w:val="0"/>
          <w:numId w:val="12"/>
        </w:numPr>
        <w:jc w:val="left"/>
        <w:rPr>
          <w:lang w:val="en-US"/>
        </w:rPr>
      </w:pPr>
      <w:r w:rsidRPr="007D1645">
        <w:rPr>
          <w:lang w:val="en-US"/>
        </w:rPr>
        <w:t>Packaging and load securing must be carried out in such a way that:</w:t>
      </w:r>
    </w:p>
    <w:p w14:paraId="48985FE7" w14:textId="77777777" w:rsidR="007D1645" w:rsidRPr="000A2745" w:rsidRDefault="007D1645" w:rsidP="007D1645">
      <w:pPr>
        <w:numPr>
          <w:ilvl w:val="1"/>
          <w:numId w:val="12"/>
        </w:numPr>
        <w:jc w:val="left"/>
      </w:pPr>
      <w:proofErr w:type="spellStart"/>
      <w:r w:rsidRPr="000A2745">
        <w:t>no</w:t>
      </w:r>
      <w:proofErr w:type="spellEnd"/>
      <w:r w:rsidRPr="000A2745">
        <w:t xml:space="preserve"> </w:t>
      </w:r>
      <w:proofErr w:type="spellStart"/>
      <w:r w:rsidRPr="000A2745">
        <w:t>friction</w:t>
      </w:r>
      <w:proofErr w:type="spellEnd"/>
      <w:r w:rsidRPr="000A2745">
        <w:t>,</w:t>
      </w:r>
    </w:p>
    <w:p w14:paraId="18A3FD3B" w14:textId="77777777" w:rsidR="007D1645" w:rsidRPr="000A2745" w:rsidRDefault="007D1645" w:rsidP="007D1645">
      <w:pPr>
        <w:numPr>
          <w:ilvl w:val="1"/>
          <w:numId w:val="12"/>
        </w:numPr>
        <w:jc w:val="left"/>
      </w:pPr>
      <w:proofErr w:type="spellStart"/>
      <w:r w:rsidRPr="000A2745">
        <w:t>no</w:t>
      </w:r>
      <w:proofErr w:type="spellEnd"/>
      <w:r w:rsidRPr="000A2745">
        <w:t xml:space="preserve"> </w:t>
      </w:r>
      <w:proofErr w:type="spellStart"/>
      <w:r w:rsidRPr="000A2745">
        <w:t>chafing</w:t>
      </w:r>
      <w:proofErr w:type="spellEnd"/>
      <w:r w:rsidRPr="000A2745">
        <w:t>,</w:t>
      </w:r>
    </w:p>
    <w:p w14:paraId="663691E1" w14:textId="77777777" w:rsidR="007D1645" w:rsidRPr="000A2745" w:rsidRDefault="007D1645" w:rsidP="007D1645">
      <w:pPr>
        <w:numPr>
          <w:ilvl w:val="1"/>
          <w:numId w:val="12"/>
        </w:numPr>
        <w:jc w:val="left"/>
      </w:pPr>
      <w:proofErr w:type="spellStart"/>
      <w:r w:rsidRPr="000A2745">
        <w:t>no</w:t>
      </w:r>
      <w:proofErr w:type="spellEnd"/>
      <w:r w:rsidRPr="000A2745">
        <w:t xml:space="preserve"> </w:t>
      </w:r>
      <w:proofErr w:type="spellStart"/>
      <w:r w:rsidRPr="000A2745">
        <w:t>point</w:t>
      </w:r>
      <w:proofErr w:type="spellEnd"/>
      <w:r w:rsidRPr="000A2745">
        <w:t xml:space="preserve"> </w:t>
      </w:r>
      <w:proofErr w:type="spellStart"/>
      <w:r w:rsidRPr="000A2745">
        <w:t>loads</w:t>
      </w:r>
      <w:proofErr w:type="spellEnd"/>
      <w:r w:rsidRPr="000A2745">
        <w:t>,</w:t>
      </w:r>
    </w:p>
    <w:p w14:paraId="56874F96" w14:textId="77777777" w:rsidR="007D1645" w:rsidRPr="000A2745" w:rsidRDefault="007D1645" w:rsidP="007D1645">
      <w:pPr>
        <w:numPr>
          <w:ilvl w:val="1"/>
          <w:numId w:val="12"/>
        </w:numPr>
        <w:jc w:val="left"/>
      </w:pPr>
      <w:proofErr w:type="spellStart"/>
      <w:r w:rsidRPr="000A2745">
        <w:t>no</w:t>
      </w:r>
      <w:proofErr w:type="spellEnd"/>
      <w:r w:rsidRPr="000A2745">
        <w:t xml:space="preserve"> </w:t>
      </w:r>
      <w:proofErr w:type="spellStart"/>
      <w:r w:rsidRPr="000A2745">
        <w:t>deformation</w:t>
      </w:r>
      <w:proofErr w:type="spellEnd"/>
      <w:r w:rsidRPr="000A2745">
        <w:br/>
      </w:r>
      <w:proofErr w:type="spellStart"/>
      <w:r w:rsidRPr="000A2745">
        <w:t>can</w:t>
      </w:r>
      <w:proofErr w:type="spellEnd"/>
      <w:r w:rsidRPr="000A2745">
        <w:t xml:space="preserve"> </w:t>
      </w:r>
      <w:proofErr w:type="spellStart"/>
      <w:r w:rsidRPr="000A2745">
        <w:t>occur</w:t>
      </w:r>
      <w:proofErr w:type="spellEnd"/>
      <w:r w:rsidRPr="000A2745">
        <w:t>.</w:t>
      </w:r>
    </w:p>
    <w:p w14:paraId="20050815" w14:textId="77777777" w:rsidR="007D1645" w:rsidRPr="007D1645" w:rsidRDefault="007D1645" w:rsidP="007D1645">
      <w:pPr>
        <w:numPr>
          <w:ilvl w:val="0"/>
          <w:numId w:val="12"/>
        </w:numPr>
        <w:jc w:val="left"/>
        <w:rPr>
          <w:lang w:val="en-US"/>
        </w:rPr>
      </w:pPr>
      <w:r w:rsidRPr="007D1645">
        <w:rPr>
          <w:lang w:val="en-US"/>
        </w:rPr>
        <w:t>The choice of means of transport is left to the supplier, provided that compliance with these requirements is ensured.</w:t>
      </w:r>
    </w:p>
    <w:p w14:paraId="7C13D841" w14:textId="77777777" w:rsidR="007D1645" w:rsidRDefault="007D1645" w:rsidP="007D1645">
      <w:pPr>
        <w:rPr>
          <w:lang w:val="en-US"/>
        </w:rPr>
      </w:pPr>
    </w:p>
    <w:p w14:paraId="60A05893" w14:textId="77777777" w:rsidR="007D1645" w:rsidRDefault="007D1645" w:rsidP="007D1645">
      <w:pPr>
        <w:rPr>
          <w:lang w:val="en-US"/>
        </w:rPr>
      </w:pPr>
    </w:p>
    <w:p w14:paraId="0D1B9925" w14:textId="77777777" w:rsidR="007D1645" w:rsidRPr="007D1645" w:rsidRDefault="007D1645" w:rsidP="007D1645">
      <w:pPr>
        <w:rPr>
          <w:lang w:val="en-US"/>
        </w:rPr>
      </w:pPr>
    </w:p>
    <w:p w14:paraId="205C3285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supplier bears full responsibility for:</w:t>
      </w:r>
    </w:p>
    <w:p w14:paraId="0C0AEA5E" w14:textId="77777777" w:rsidR="007D1645" w:rsidRPr="0061240C" w:rsidRDefault="007D1645" w:rsidP="007D1645">
      <w:pPr>
        <w:numPr>
          <w:ilvl w:val="0"/>
          <w:numId w:val="13"/>
        </w:numPr>
        <w:jc w:val="left"/>
      </w:pPr>
      <w:r w:rsidRPr="0061240C">
        <w:t xml:space="preserve">proper </w:t>
      </w:r>
      <w:proofErr w:type="spellStart"/>
      <w:r w:rsidRPr="0061240C">
        <w:t>packaging</w:t>
      </w:r>
      <w:proofErr w:type="spellEnd"/>
      <w:r w:rsidRPr="0061240C">
        <w:t>,</w:t>
      </w:r>
    </w:p>
    <w:p w14:paraId="19CDC7A8" w14:textId="77777777" w:rsidR="007D1645" w:rsidRPr="0061240C" w:rsidRDefault="007D1645" w:rsidP="007D1645">
      <w:pPr>
        <w:numPr>
          <w:ilvl w:val="0"/>
          <w:numId w:val="13"/>
        </w:numPr>
        <w:jc w:val="left"/>
      </w:pPr>
      <w:proofErr w:type="spellStart"/>
      <w:r w:rsidRPr="0061240C">
        <w:t>suitable</w:t>
      </w:r>
      <w:proofErr w:type="spellEnd"/>
      <w:r w:rsidRPr="0061240C">
        <w:t xml:space="preserve"> </w:t>
      </w:r>
      <w:proofErr w:type="spellStart"/>
      <w:r w:rsidRPr="0061240C">
        <w:t>transport</w:t>
      </w:r>
      <w:proofErr w:type="spellEnd"/>
      <w:r w:rsidRPr="0061240C">
        <w:t>,</w:t>
      </w:r>
    </w:p>
    <w:p w14:paraId="067131A8" w14:textId="77777777" w:rsidR="007D1645" w:rsidRPr="007D1645" w:rsidRDefault="007D1645" w:rsidP="007D1645">
      <w:pPr>
        <w:numPr>
          <w:ilvl w:val="0"/>
          <w:numId w:val="13"/>
        </w:numPr>
        <w:jc w:val="left"/>
        <w:rPr>
          <w:lang w:val="en-US"/>
        </w:rPr>
      </w:pPr>
      <w:r w:rsidRPr="007D1645">
        <w:rPr>
          <w:lang w:val="en-US"/>
        </w:rPr>
        <w:t>protection against corrosion and environmental influences,</w:t>
      </w:r>
    </w:p>
    <w:p w14:paraId="3F8AA14B" w14:textId="77777777" w:rsidR="007D1645" w:rsidRPr="007D1645" w:rsidRDefault="007D1645" w:rsidP="007D1645">
      <w:pPr>
        <w:numPr>
          <w:ilvl w:val="0"/>
          <w:numId w:val="13"/>
        </w:numPr>
        <w:jc w:val="left"/>
        <w:rPr>
          <w:lang w:val="en-US"/>
        </w:rPr>
      </w:pPr>
      <w:r w:rsidRPr="007D1645">
        <w:rPr>
          <w:lang w:val="en-US"/>
        </w:rPr>
        <w:t>and compliance with these delivery instructions</w:t>
      </w:r>
    </w:p>
    <w:p w14:paraId="445A9AFB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until the transfer of risk in accordance with the Incoterm agreed in the order (e.g., DAP, FCA, EXW, or similar).</w:t>
      </w:r>
    </w:p>
    <w:p w14:paraId="62F855C4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Regardless of the transfer of risk, defects due to inadequate packaging, insufficient corrosion protection, or faulty workmanship remain subject to complaint.</w:t>
      </w:r>
    </w:p>
    <w:p w14:paraId="6BFF1E16" w14:textId="77777777" w:rsidR="007D1645" w:rsidRPr="007D1645" w:rsidRDefault="007D1645" w:rsidP="007D1645">
      <w:pPr>
        <w:rPr>
          <w:lang w:val="en-US"/>
        </w:rPr>
      </w:pPr>
    </w:p>
    <w:p w14:paraId="353222AF" w14:textId="77777777" w:rsidR="007D1645" w:rsidRDefault="007D1645" w:rsidP="007D1645">
      <w:pPr>
        <w:pStyle w:val="berschrift1"/>
        <w:ind w:left="431" w:hanging="431"/>
      </w:pPr>
      <w:proofErr w:type="spellStart"/>
      <w:r w:rsidRPr="000A2745">
        <w:t>Inspection</w:t>
      </w:r>
      <w:proofErr w:type="spellEnd"/>
      <w:r w:rsidRPr="000A2745">
        <w:t xml:space="preserve"> and </w:t>
      </w:r>
      <w:proofErr w:type="spellStart"/>
      <w:r w:rsidRPr="000A2745">
        <w:t>deviations</w:t>
      </w:r>
      <w:proofErr w:type="spellEnd"/>
    </w:p>
    <w:p w14:paraId="5F69749B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SMB is entitled to carry out visual, cleanliness, and surface inspections upon delivery and to evaluate seals, protective measures, and surface conditions.</w:t>
      </w:r>
    </w:p>
    <w:p w14:paraId="6BAB40C3" w14:textId="77777777" w:rsidR="007D1645" w:rsidRPr="000A2745" w:rsidRDefault="007D1645" w:rsidP="007D1645">
      <w:pPr>
        <w:pStyle w:val="berschrift2"/>
      </w:pPr>
      <w:proofErr w:type="spellStart"/>
      <w:r w:rsidRPr="000A2745">
        <w:t>Deviations</w:t>
      </w:r>
      <w:proofErr w:type="spellEnd"/>
    </w:p>
    <w:p w14:paraId="23E06C9B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Deviations from these delivery regulations will result in a notification of delivery defect (complaint).</w:t>
      </w:r>
    </w:p>
    <w:p w14:paraId="73B34235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In the case of life science-related components, valves, or skids, this may also result in the rejection of the delivery or in it being blocked until clarification has been provided.</w:t>
      </w:r>
    </w:p>
    <w:p w14:paraId="3EFFEB88" w14:textId="77777777" w:rsidR="007D1645" w:rsidRPr="007D1645" w:rsidRDefault="007D1645" w:rsidP="007D1645">
      <w:pPr>
        <w:rPr>
          <w:lang w:val="en-US"/>
        </w:rPr>
      </w:pPr>
    </w:p>
    <w:p w14:paraId="7AFB990B" w14:textId="77777777" w:rsidR="007D1645" w:rsidRPr="000A2745" w:rsidRDefault="007D1645" w:rsidP="007D1645">
      <w:pPr>
        <w:pStyle w:val="berschrift1"/>
        <w:ind w:left="431" w:hanging="431"/>
      </w:pPr>
      <w:proofErr w:type="spellStart"/>
      <w:r w:rsidRPr="000A2745">
        <w:t>Responsibility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66"/>
        <w:gridCol w:w="66"/>
        <w:gridCol w:w="66"/>
        <w:gridCol w:w="66"/>
        <w:gridCol w:w="66"/>
        <w:gridCol w:w="4253"/>
      </w:tblGrid>
      <w:tr w:rsidR="007D1645" w:rsidRPr="00662643" w14:paraId="41AE1197" w14:textId="77777777" w:rsidTr="00020D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B36A1" w14:textId="77777777" w:rsidR="007D1645" w:rsidRPr="000A2745" w:rsidRDefault="007D1645" w:rsidP="00020D23">
            <w:r w:rsidRPr="000A2745">
              <w:t>Supplier</w:t>
            </w:r>
          </w:p>
        </w:tc>
        <w:tc>
          <w:tcPr>
            <w:tcW w:w="0" w:type="auto"/>
          </w:tcPr>
          <w:p w14:paraId="11DB8D3E" w14:textId="77777777" w:rsidR="007D1645" w:rsidRPr="000A2745" w:rsidRDefault="007D1645" w:rsidP="00020D23"/>
        </w:tc>
        <w:tc>
          <w:tcPr>
            <w:tcW w:w="0" w:type="auto"/>
          </w:tcPr>
          <w:p w14:paraId="2EC63354" w14:textId="77777777" w:rsidR="007D1645" w:rsidRPr="000A2745" w:rsidRDefault="007D1645" w:rsidP="00020D23"/>
        </w:tc>
        <w:tc>
          <w:tcPr>
            <w:tcW w:w="0" w:type="auto"/>
          </w:tcPr>
          <w:p w14:paraId="04ABF303" w14:textId="77777777" w:rsidR="007D1645" w:rsidRPr="000A2745" w:rsidRDefault="007D1645" w:rsidP="00020D23"/>
        </w:tc>
        <w:tc>
          <w:tcPr>
            <w:tcW w:w="0" w:type="auto"/>
          </w:tcPr>
          <w:p w14:paraId="5396773B" w14:textId="77777777" w:rsidR="007D1645" w:rsidRPr="000A2745" w:rsidRDefault="007D1645" w:rsidP="00020D23"/>
        </w:tc>
        <w:tc>
          <w:tcPr>
            <w:tcW w:w="0" w:type="auto"/>
          </w:tcPr>
          <w:p w14:paraId="4E68F4AA" w14:textId="77777777" w:rsidR="007D1645" w:rsidRPr="000A2745" w:rsidRDefault="007D1645" w:rsidP="00020D23"/>
        </w:tc>
        <w:tc>
          <w:tcPr>
            <w:tcW w:w="0" w:type="auto"/>
            <w:vAlign w:val="center"/>
            <w:hideMark/>
          </w:tcPr>
          <w:p w14:paraId="2B7EFC9E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Compliance with these delivery regulations</w:t>
            </w:r>
          </w:p>
        </w:tc>
      </w:tr>
      <w:tr w:rsidR="007D1645" w:rsidRPr="00662643" w14:paraId="01C818C2" w14:textId="77777777" w:rsidTr="00020D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59FAD" w14:textId="77777777" w:rsidR="007D1645" w:rsidRPr="000A2745" w:rsidRDefault="007D1645" w:rsidP="00020D23">
            <w:proofErr w:type="spellStart"/>
            <w:r w:rsidRPr="000A2745">
              <w:t>Purchasing</w:t>
            </w:r>
            <w:proofErr w:type="spellEnd"/>
            <w:r w:rsidRPr="000A2745">
              <w:t xml:space="preserve"> SMB</w:t>
            </w:r>
          </w:p>
        </w:tc>
        <w:tc>
          <w:tcPr>
            <w:tcW w:w="0" w:type="auto"/>
          </w:tcPr>
          <w:p w14:paraId="7D2B972C" w14:textId="77777777" w:rsidR="007D1645" w:rsidRPr="000A2745" w:rsidRDefault="007D1645" w:rsidP="00020D23"/>
        </w:tc>
        <w:tc>
          <w:tcPr>
            <w:tcW w:w="0" w:type="auto"/>
          </w:tcPr>
          <w:p w14:paraId="0C535F56" w14:textId="77777777" w:rsidR="007D1645" w:rsidRPr="000A2745" w:rsidRDefault="007D1645" w:rsidP="00020D23"/>
        </w:tc>
        <w:tc>
          <w:tcPr>
            <w:tcW w:w="0" w:type="auto"/>
          </w:tcPr>
          <w:p w14:paraId="757D0C87" w14:textId="77777777" w:rsidR="007D1645" w:rsidRPr="000A2745" w:rsidRDefault="007D1645" w:rsidP="00020D23"/>
        </w:tc>
        <w:tc>
          <w:tcPr>
            <w:tcW w:w="0" w:type="auto"/>
          </w:tcPr>
          <w:p w14:paraId="59569047" w14:textId="77777777" w:rsidR="007D1645" w:rsidRPr="000A2745" w:rsidRDefault="007D1645" w:rsidP="00020D23"/>
        </w:tc>
        <w:tc>
          <w:tcPr>
            <w:tcW w:w="0" w:type="auto"/>
          </w:tcPr>
          <w:p w14:paraId="68E9C9BC" w14:textId="77777777" w:rsidR="007D1645" w:rsidRPr="000A2745" w:rsidRDefault="007D1645" w:rsidP="00020D23"/>
        </w:tc>
        <w:tc>
          <w:tcPr>
            <w:tcW w:w="0" w:type="auto"/>
            <w:vAlign w:val="center"/>
            <w:hideMark/>
          </w:tcPr>
          <w:p w14:paraId="6BED183F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Anchoring in SAP order text, complaints</w:t>
            </w:r>
          </w:p>
        </w:tc>
      </w:tr>
      <w:tr w:rsidR="007D1645" w:rsidRPr="000A2745" w14:paraId="28938012" w14:textId="77777777" w:rsidTr="00020D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A854B" w14:textId="77777777" w:rsidR="007D1645" w:rsidRPr="000A2745" w:rsidRDefault="007D1645" w:rsidP="00020D23">
            <w:r w:rsidRPr="000A2745">
              <w:t>QM / QS SMB</w:t>
            </w:r>
          </w:p>
        </w:tc>
        <w:tc>
          <w:tcPr>
            <w:tcW w:w="0" w:type="auto"/>
          </w:tcPr>
          <w:p w14:paraId="35887EA4" w14:textId="77777777" w:rsidR="007D1645" w:rsidRPr="000A2745" w:rsidRDefault="007D1645" w:rsidP="00020D23"/>
        </w:tc>
        <w:tc>
          <w:tcPr>
            <w:tcW w:w="0" w:type="auto"/>
          </w:tcPr>
          <w:p w14:paraId="506F35D0" w14:textId="77777777" w:rsidR="007D1645" w:rsidRPr="000A2745" w:rsidRDefault="007D1645" w:rsidP="00020D23"/>
        </w:tc>
        <w:tc>
          <w:tcPr>
            <w:tcW w:w="0" w:type="auto"/>
          </w:tcPr>
          <w:p w14:paraId="55705D67" w14:textId="77777777" w:rsidR="007D1645" w:rsidRPr="000A2745" w:rsidRDefault="007D1645" w:rsidP="00020D23"/>
        </w:tc>
        <w:tc>
          <w:tcPr>
            <w:tcW w:w="0" w:type="auto"/>
          </w:tcPr>
          <w:p w14:paraId="52BC2763" w14:textId="77777777" w:rsidR="007D1645" w:rsidRPr="000A2745" w:rsidRDefault="007D1645" w:rsidP="00020D23"/>
        </w:tc>
        <w:tc>
          <w:tcPr>
            <w:tcW w:w="0" w:type="auto"/>
          </w:tcPr>
          <w:p w14:paraId="173FDB2E" w14:textId="77777777" w:rsidR="007D1645" w:rsidRPr="000A2745" w:rsidRDefault="007D1645" w:rsidP="00020D23"/>
        </w:tc>
        <w:tc>
          <w:tcPr>
            <w:tcW w:w="0" w:type="auto"/>
            <w:vAlign w:val="center"/>
            <w:hideMark/>
          </w:tcPr>
          <w:p w14:paraId="07C841DD" w14:textId="77777777" w:rsidR="007D1645" w:rsidRPr="000A2745" w:rsidRDefault="007D1645" w:rsidP="00020D23">
            <w:proofErr w:type="spellStart"/>
            <w:r w:rsidRPr="000A2745">
              <w:t>Inspection</w:t>
            </w:r>
            <w:proofErr w:type="spellEnd"/>
            <w:r w:rsidRPr="000A2745">
              <w:t xml:space="preserve">, </w:t>
            </w:r>
            <w:proofErr w:type="spellStart"/>
            <w:r w:rsidRPr="000A2745">
              <w:t>evaluation</w:t>
            </w:r>
            <w:proofErr w:type="spellEnd"/>
            <w:r w:rsidRPr="000A2745">
              <w:t>,</w:t>
            </w:r>
          </w:p>
        </w:tc>
      </w:tr>
      <w:tr w:rsidR="007D1645" w:rsidRPr="00662643" w14:paraId="797727BA" w14:textId="77777777" w:rsidTr="00020D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502A3" w14:textId="77777777" w:rsidR="007D1645" w:rsidRPr="000A2745" w:rsidRDefault="007D1645" w:rsidP="00020D23">
            <w:r w:rsidRPr="000A2745">
              <w:t xml:space="preserve">Project / Construction </w:t>
            </w:r>
            <w:proofErr w:type="spellStart"/>
            <w:r w:rsidRPr="000A2745">
              <w:t>site</w:t>
            </w:r>
            <w:proofErr w:type="spellEnd"/>
          </w:p>
        </w:tc>
        <w:tc>
          <w:tcPr>
            <w:tcW w:w="0" w:type="auto"/>
          </w:tcPr>
          <w:p w14:paraId="7E6307B8" w14:textId="77777777" w:rsidR="007D1645" w:rsidRPr="000A2745" w:rsidRDefault="007D1645" w:rsidP="00020D23"/>
        </w:tc>
        <w:tc>
          <w:tcPr>
            <w:tcW w:w="0" w:type="auto"/>
          </w:tcPr>
          <w:p w14:paraId="382C1C40" w14:textId="77777777" w:rsidR="007D1645" w:rsidRPr="000A2745" w:rsidRDefault="007D1645" w:rsidP="00020D23"/>
        </w:tc>
        <w:tc>
          <w:tcPr>
            <w:tcW w:w="0" w:type="auto"/>
          </w:tcPr>
          <w:p w14:paraId="0F448737" w14:textId="77777777" w:rsidR="007D1645" w:rsidRPr="000A2745" w:rsidRDefault="007D1645" w:rsidP="00020D23"/>
        </w:tc>
        <w:tc>
          <w:tcPr>
            <w:tcW w:w="0" w:type="auto"/>
          </w:tcPr>
          <w:p w14:paraId="5303F2CA" w14:textId="77777777" w:rsidR="007D1645" w:rsidRPr="000A2745" w:rsidRDefault="007D1645" w:rsidP="00020D23"/>
        </w:tc>
        <w:tc>
          <w:tcPr>
            <w:tcW w:w="0" w:type="auto"/>
          </w:tcPr>
          <w:p w14:paraId="598616DC" w14:textId="77777777" w:rsidR="007D1645" w:rsidRPr="000A2745" w:rsidRDefault="007D1645" w:rsidP="00020D23"/>
        </w:tc>
        <w:tc>
          <w:tcPr>
            <w:tcW w:w="0" w:type="auto"/>
            <w:vAlign w:val="center"/>
            <w:hideMark/>
          </w:tcPr>
          <w:p w14:paraId="0827C9D8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Feedback on project-specific deviations</w:t>
            </w:r>
          </w:p>
        </w:tc>
      </w:tr>
    </w:tbl>
    <w:p w14:paraId="6B3BF69D" w14:textId="77777777" w:rsidR="007D1645" w:rsidRPr="007D1645" w:rsidRDefault="007D1645" w:rsidP="007D1645">
      <w:pPr>
        <w:rPr>
          <w:lang w:val="en-US"/>
        </w:rPr>
      </w:pPr>
    </w:p>
    <w:p w14:paraId="7670E289" w14:textId="77777777" w:rsidR="007D1645" w:rsidRPr="007D1645" w:rsidRDefault="007D1645" w:rsidP="007D1645">
      <w:pPr>
        <w:pStyle w:val="berschrift1"/>
        <w:ind w:left="431" w:hanging="431"/>
        <w:rPr>
          <w:lang w:val="en-US"/>
        </w:rPr>
      </w:pPr>
      <w:r w:rsidRPr="007D1645">
        <w:rPr>
          <w:lang w:val="en-US"/>
        </w:rPr>
        <w:t>Mandatory email subject line (incoming key)</w:t>
      </w:r>
    </w:p>
    <w:p w14:paraId="63AFAB90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email subject line must be used as a unique, machine-readable entry key.</w:t>
      </w:r>
    </w:p>
    <w:p w14:paraId="65558EA6" w14:textId="77777777" w:rsidR="007D1645" w:rsidRPr="007D1645" w:rsidRDefault="007D1645" w:rsidP="007D1645">
      <w:pPr>
        <w:jc w:val="left"/>
        <w:rPr>
          <w:lang w:val="en-US"/>
        </w:rPr>
      </w:pPr>
      <w:r w:rsidRPr="007D1645">
        <w:rPr>
          <w:lang w:val="en-US"/>
        </w:rPr>
        <w:t>Mandatory subject line format:</w:t>
      </w:r>
      <w:r w:rsidRPr="007D1645">
        <w:rPr>
          <w:lang w:val="en-US"/>
        </w:rPr>
        <w:br/>
        <w:t>MATNR_BESTNR_POSNR_CODE_DOCTYPE_CHARGENNR</w:t>
      </w:r>
    </w:p>
    <w:p w14:paraId="1E4E6041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Example:</w:t>
      </w:r>
      <w:r w:rsidRPr="007D1645">
        <w:rPr>
          <w:lang w:val="en-US"/>
        </w:rPr>
        <w:br/>
        <w:t>4711_4500123456_0010_BRO_31_H12345</w:t>
      </w:r>
    </w:p>
    <w:p w14:paraId="3FCF714F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Deviations from the subject line format will result in the documentation not being assigned and will be considered improperly transmitted.</w:t>
      </w:r>
    </w:p>
    <w:p w14:paraId="143AB96C" w14:textId="77777777" w:rsidR="007D1645" w:rsidRPr="007D1645" w:rsidRDefault="007D1645" w:rsidP="007D1645">
      <w:pPr>
        <w:rPr>
          <w:lang w:val="en-US"/>
        </w:rPr>
      </w:pPr>
    </w:p>
    <w:p w14:paraId="2BE80FEB" w14:textId="77777777" w:rsidR="007D1645" w:rsidRPr="007D1645" w:rsidRDefault="007D1645" w:rsidP="007D1645">
      <w:pPr>
        <w:pStyle w:val="berschrift2"/>
        <w:rPr>
          <w:lang w:val="en-US"/>
        </w:rPr>
      </w:pPr>
      <w:r w:rsidRPr="007D1645">
        <w:rPr>
          <w:lang w:val="en-US"/>
        </w:rPr>
        <w:t>Meaning of the fields in the subject 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285"/>
      </w:tblGrid>
      <w:tr w:rsidR="007D1645" w:rsidRPr="000A2745" w14:paraId="403D4D12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0B7803E" w14:textId="77777777" w:rsidR="007D1645" w:rsidRPr="000A2745" w:rsidRDefault="007D1645" w:rsidP="00020D23">
            <w:r w:rsidRPr="000A2745">
              <w:t>Field</w:t>
            </w:r>
          </w:p>
        </w:tc>
        <w:tc>
          <w:tcPr>
            <w:tcW w:w="5240" w:type="dxa"/>
            <w:vAlign w:val="center"/>
            <w:hideMark/>
          </w:tcPr>
          <w:p w14:paraId="1ABF8425" w14:textId="77777777" w:rsidR="007D1645" w:rsidRPr="000A2745" w:rsidRDefault="007D1645" w:rsidP="00020D23">
            <w:proofErr w:type="spellStart"/>
            <w:r w:rsidRPr="000A2745">
              <w:t>Meaning</w:t>
            </w:r>
            <w:proofErr w:type="spellEnd"/>
          </w:p>
        </w:tc>
      </w:tr>
      <w:tr w:rsidR="007D1645" w:rsidRPr="00662643" w14:paraId="011B171D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AC2716A" w14:textId="77777777" w:rsidR="007D1645" w:rsidRPr="000A2745" w:rsidRDefault="007D1645" w:rsidP="00020D23">
            <w:r w:rsidRPr="000A2745">
              <w:t>MATNR</w:t>
            </w:r>
          </w:p>
        </w:tc>
        <w:tc>
          <w:tcPr>
            <w:tcW w:w="5240" w:type="dxa"/>
            <w:vAlign w:val="center"/>
            <w:hideMark/>
          </w:tcPr>
          <w:p w14:paraId="60859E69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Material number according to order</w:t>
            </w:r>
          </w:p>
        </w:tc>
      </w:tr>
      <w:tr w:rsidR="007D1645" w:rsidRPr="000A2745" w14:paraId="1B2E7C6D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7525568" w14:textId="77777777" w:rsidR="007D1645" w:rsidRPr="000A2745" w:rsidRDefault="007D1645" w:rsidP="00020D23">
            <w:r w:rsidRPr="000A2745">
              <w:t>BESTNR</w:t>
            </w:r>
          </w:p>
        </w:tc>
        <w:tc>
          <w:tcPr>
            <w:tcW w:w="5240" w:type="dxa"/>
            <w:vAlign w:val="center"/>
            <w:hideMark/>
          </w:tcPr>
          <w:p w14:paraId="7CA32E27" w14:textId="77777777" w:rsidR="007D1645" w:rsidRPr="000A2745" w:rsidRDefault="007D1645" w:rsidP="00020D23">
            <w:r w:rsidRPr="000A2745">
              <w:t xml:space="preserve">SAP </w:t>
            </w:r>
            <w:proofErr w:type="spellStart"/>
            <w:r w:rsidRPr="000A2745">
              <w:t>order</w:t>
            </w:r>
            <w:proofErr w:type="spellEnd"/>
            <w:r w:rsidRPr="000A2745">
              <w:t xml:space="preserve"> </w:t>
            </w:r>
            <w:proofErr w:type="spellStart"/>
            <w:r w:rsidRPr="000A2745">
              <w:t>number</w:t>
            </w:r>
            <w:proofErr w:type="spellEnd"/>
          </w:p>
        </w:tc>
      </w:tr>
      <w:tr w:rsidR="007D1645" w:rsidRPr="00662643" w14:paraId="6ADB67D6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61683331" w14:textId="77777777" w:rsidR="007D1645" w:rsidRPr="000A2745" w:rsidRDefault="007D1645" w:rsidP="00020D23">
            <w:r w:rsidRPr="000A2745">
              <w:t>POSNR</w:t>
            </w:r>
          </w:p>
        </w:tc>
        <w:tc>
          <w:tcPr>
            <w:tcW w:w="5240" w:type="dxa"/>
            <w:vAlign w:val="center"/>
            <w:hideMark/>
          </w:tcPr>
          <w:p w14:paraId="7580D795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Item number of the order</w:t>
            </w:r>
          </w:p>
        </w:tc>
      </w:tr>
      <w:tr w:rsidR="007D1645" w:rsidRPr="00662643" w14:paraId="3EF9C5D2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E2B6E8E" w14:textId="77777777" w:rsidR="007D1645" w:rsidRPr="000A2745" w:rsidRDefault="007D1645" w:rsidP="00020D23">
            <w:r w:rsidRPr="000A2745">
              <w:t>CODE</w:t>
            </w:r>
          </w:p>
        </w:tc>
        <w:tc>
          <w:tcPr>
            <w:tcW w:w="5240" w:type="dxa"/>
            <w:vAlign w:val="center"/>
            <w:hideMark/>
          </w:tcPr>
          <w:p w14:paraId="633D3A7D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Part/component code according to section 8.4</w:t>
            </w:r>
          </w:p>
        </w:tc>
      </w:tr>
      <w:tr w:rsidR="007D1645" w:rsidRPr="00662643" w14:paraId="37175294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F26DF29" w14:textId="77777777" w:rsidR="007D1645" w:rsidRPr="000A2745" w:rsidRDefault="007D1645" w:rsidP="00020D23">
            <w:r w:rsidRPr="000A2745">
              <w:t>DOCTYPE</w:t>
            </w:r>
          </w:p>
        </w:tc>
        <w:tc>
          <w:tcPr>
            <w:tcW w:w="5240" w:type="dxa"/>
            <w:vAlign w:val="center"/>
            <w:hideMark/>
          </w:tcPr>
          <w:p w14:paraId="614BE183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Document type (e.g., 31 = factory certificate 3.1)</w:t>
            </w:r>
          </w:p>
        </w:tc>
      </w:tr>
      <w:tr w:rsidR="007D1645" w:rsidRPr="00662643" w14:paraId="376A9C84" w14:textId="77777777" w:rsidTr="00020D2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4C7D880" w14:textId="77777777" w:rsidR="007D1645" w:rsidRPr="000A2745" w:rsidRDefault="007D1645" w:rsidP="00020D23">
            <w:r w:rsidRPr="000A2745">
              <w:t>CHARGENNR</w:t>
            </w:r>
          </w:p>
        </w:tc>
        <w:tc>
          <w:tcPr>
            <w:tcW w:w="5240" w:type="dxa"/>
            <w:vAlign w:val="center"/>
            <w:hideMark/>
          </w:tcPr>
          <w:p w14:paraId="51C96D15" w14:textId="77777777" w:rsidR="007D1645" w:rsidRPr="007D1645" w:rsidRDefault="007D1645" w:rsidP="00020D23">
            <w:pPr>
              <w:rPr>
                <w:lang w:val="en-US"/>
              </w:rPr>
            </w:pPr>
            <w:r w:rsidRPr="007D1645">
              <w:rPr>
                <w:lang w:val="en-US"/>
              </w:rPr>
              <w:t>Heat, batch, or lot number</w:t>
            </w:r>
          </w:p>
        </w:tc>
      </w:tr>
    </w:tbl>
    <w:p w14:paraId="10033E49" w14:textId="77777777" w:rsidR="007D1645" w:rsidRDefault="007D1645" w:rsidP="007D1645">
      <w:pPr>
        <w:rPr>
          <w:lang w:val="en-US"/>
        </w:rPr>
      </w:pPr>
    </w:p>
    <w:p w14:paraId="77B04684" w14:textId="77777777" w:rsidR="007D1645" w:rsidRDefault="007D1645" w:rsidP="007D1645">
      <w:pPr>
        <w:rPr>
          <w:lang w:val="en-US"/>
        </w:rPr>
      </w:pPr>
    </w:p>
    <w:p w14:paraId="2A533332" w14:textId="77777777" w:rsidR="007D1645" w:rsidRDefault="007D1645" w:rsidP="007D1645">
      <w:pPr>
        <w:rPr>
          <w:lang w:val="en-US"/>
        </w:rPr>
      </w:pPr>
    </w:p>
    <w:p w14:paraId="272E0C92" w14:textId="77777777" w:rsidR="007D1645" w:rsidRDefault="007D1645" w:rsidP="007D1645">
      <w:pPr>
        <w:rPr>
          <w:lang w:val="en-US"/>
        </w:rPr>
      </w:pPr>
    </w:p>
    <w:p w14:paraId="4F6C60F6" w14:textId="77777777" w:rsidR="007D1645" w:rsidRPr="007D1645" w:rsidRDefault="007D1645" w:rsidP="007D1645">
      <w:pPr>
        <w:rPr>
          <w:lang w:val="en-US"/>
        </w:rPr>
      </w:pPr>
    </w:p>
    <w:p w14:paraId="67793130" w14:textId="77777777" w:rsidR="007D1645" w:rsidRPr="007D1645" w:rsidRDefault="007D1645" w:rsidP="007D1645">
      <w:pPr>
        <w:pStyle w:val="berschrift2"/>
        <w:rPr>
          <w:lang w:val="en-US"/>
        </w:rPr>
      </w:pPr>
      <w:r w:rsidRPr="007D1645">
        <w:rPr>
          <w:lang w:val="en-US"/>
        </w:rPr>
        <w:t>Part and component codes (excerpt)</w:t>
      </w:r>
    </w:p>
    <w:p w14:paraId="2F60E0E5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 following codes must be used in the email subject line:</w:t>
      </w:r>
    </w:p>
    <w:p w14:paraId="32A07E98" w14:textId="77777777" w:rsidR="007D1645" w:rsidRPr="009B0071" w:rsidRDefault="007D1645" w:rsidP="007D1645">
      <w:pPr>
        <w:rPr>
          <w:b/>
          <w:bCs/>
        </w:rPr>
      </w:pPr>
      <w:r w:rsidRPr="009B0071">
        <w:rPr>
          <w:b/>
          <w:bCs/>
        </w:rPr>
        <w:t>A. BULK CODES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792"/>
      </w:tblGrid>
      <w:tr w:rsidR="007D1645" w:rsidRPr="000A2745" w14:paraId="140A311A" w14:textId="77777777" w:rsidTr="00020D23">
        <w:tc>
          <w:tcPr>
            <w:tcW w:w="3359" w:type="dxa"/>
          </w:tcPr>
          <w:p w14:paraId="5225590C" w14:textId="77777777" w:rsidR="007D1645" w:rsidRPr="009B0071" w:rsidRDefault="007D1645" w:rsidP="00020D23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Code</w:t>
            </w:r>
          </w:p>
        </w:tc>
        <w:tc>
          <w:tcPr>
            <w:tcW w:w="3792" w:type="dxa"/>
          </w:tcPr>
          <w:p w14:paraId="7DD5F44D" w14:textId="77777777" w:rsidR="007D1645" w:rsidRPr="009B0071" w:rsidRDefault="007D1645" w:rsidP="00020D23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Part</w:t>
            </w:r>
          </w:p>
        </w:tc>
      </w:tr>
      <w:tr w:rsidR="007D1645" w:rsidRPr="000A2745" w14:paraId="36B7562B" w14:textId="77777777" w:rsidTr="00020D23">
        <w:tc>
          <w:tcPr>
            <w:tcW w:w="3359" w:type="dxa"/>
          </w:tcPr>
          <w:p w14:paraId="660A6120" w14:textId="77777777" w:rsidR="007D1645" w:rsidRPr="000A2745" w:rsidRDefault="007D1645" w:rsidP="00020D23">
            <w:r w:rsidRPr="000A2745">
              <w:t>BRO</w:t>
            </w:r>
          </w:p>
        </w:tc>
        <w:tc>
          <w:tcPr>
            <w:tcW w:w="3792" w:type="dxa"/>
          </w:tcPr>
          <w:p w14:paraId="373CE8AF" w14:textId="77777777" w:rsidR="007D1645" w:rsidRPr="000A2745" w:rsidRDefault="007D1645" w:rsidP="00020D23">
            <w:r w:rsidRPr="000A2745">
              <w:t>Pipe</w:t>
            </w:r>
          </w:p>
        </w:tc>
      </w:tr>
      <w:tr w:rsidR="007D1645" w:rsidRPr="000A2745" w14:paraId="10ACE67B" w14:textId="77777777" w:rsidTr="00020D23">
        <w:tc>
          <w:tcPr>
            <w:tcW w:w="3359" w:type="dxa"/>
          </w:tcPr>
          <w:p w14:paraId="32718C3C" w14:textId="77777777" w:rsidR="007D1645" w:rsidRPr="000A2745" w:rsidRDefault="007D1645" w:rsidP="00020D23">
            <w:r w:rsidRPr="000A2745">
              <w:t>BBO</w:t>
            </w:r>
          </w:p>
        </w:tc>
        <w:tc>
          <w:tcPr>
            <w:tcW w:w="3792" w:type="dxa"/>
          </w:tcPr>
          <w:p w14:paraId="491DA0C1" w14:textId="77777777" w:rsidR="007D1645" w:rsidRPr="000A2745" w:rsidRDefault="007D1645" w:rsidP="00020D23">
            <w:r w:rsidRPr="000A2745">
              <w:t xml:space="preserve">Pipe </w:t>
            </w:r>
            <w:proofErr w:type="spellStart"/>
            <w:r w:rsidRPr="000A2745">
              <w:t>bend</w:t>
            </w:r>
            <w:proofErr w:type="spellEnd"/>
          </w:p>
        </w:tc>
      </w:tr>
      <w:tr w:rsidR="007D1645" w:rsidRPr="000A2745" w14:paraId="4C668AC9" w14:textId="77777777" w:rsidTr="00020D23">
        <w:trPr>
          <w:trHeight w:val="236"/>
        </w:trPr>
        <w:tc>
          <w:tcPr>
            <w:tcW w:w="3359" w:type="dxa"/>
          </w:tcPr>
          <w:p w14:paraId="5412B268" w14:textId="77777777" w:rsidR="007D1645" w:rsidRPr="000A2745" w:rsidRDefault="007D1645" w:rsidP="00020D23">
            <w:r w:rsidRPr="000A2745">
              <w:t>BRE</w:t>
            </w:r>
          </w:p>
        </w:tc>
        <w:tc>
          <w:tcPr>
            <w:tcW w:w="3792" w:type="dxa"/>
          </w:tcPr>
          <w:p w14:paraId="6C5322AF" w14:textId="77777777" w:rsidR="007D1645" w:rsidRPr="000A2745" w:rsidRDefault="007D1645" w:rsidP="00020D23">
            <w:r w:rsidRPr="000A2745">
              <w:t>Reducer</w:t>
            </w:r>
          </w:p>
        </w:tc>
      </w:tr>
      <w:tr w:rsidR="007D1645" w:rsidRPr="000A2745" w14:paraId="7B27680B" w14:textId="77777777" w:rsidTr="00020D23">
        <w:tc>
          <w:tcPr>
            <w:tcW w:w="3359" w:type="dxa"/>
          </w:tcPr>
          <w:p w14:paraId="14E71A90" w14:textId="77777777" w:rsidR="007D1645" w:rsidRPr="000A2745" w:rsidRDefault="007D1645" w:rsidP="00020D23">
            <w:r w:rsidRPr="000A2745">
              <w:t>BTE</w:t>
            </w:r>
          </w:p>
        </w:tc>
        <w:tc>
          <w:tcPr>
            <w:tcW w:w="3792" w:type="dxa"/>
          </w:tcPr>
          <w:p w14:paraId="00F2BC1D" w14:textId="77777777" w:rsidR="007D1645" w:rsidRPr="000A2745" w:rsidRDefault="007D1645" w:rsidP="00020D23">
            <w:r w:rsidRPr="000A2745">
              <w:t xml:space="preserve">T-piece  </w:t>
            </w:r>
          </w:p>
        </w:tc>
      </w:tr>
      <w:tr w:rsidR="007D1645" w:rsidRPr="000A2745" w14:paraId="6CB30322" w14:textId="77777777" w:rsidTr="00020D23">
        <w:tc>
          <w:tcPr>
            <w:tcW w:w="3359" w:type="dxa"/>
          </w:tcPr>
          <w:p w14:paraId="31CF6117" w14:textId="77777777" w:rsidR="007D1645" w:rsidRPr="000A2745" w:rsidRDefault="007D1645" w:rsidP="00020D23">
            <w:r w:rsidRPr="000A2745">
              <w:t>BKA</w:t>
            </w:r>
          </w:p>
        </w:tc>
        <w:tc>
          <w:tcPr>
            <w:tcW w:w="3792" w:type="dxa"/>
          </w:tcPr>
          <w:p w14:paraId="7BCC6E5E" w14:textId="77777777" w:rsidR="007D1645" w:rsidRPr="000A2745" w:rsidRDefault="007D1645" w:rsidP="00020D23">
            <w:r w:rsidRPr="000A2745">
              <w:t>Cap</w:t>
            </w:r>
          </w:p>
        </w:tc>
      </w:tr>
      <w:tr w:rsidR="007D1645" w:rsidRPr="000A2745" w14:paraId="27D9204A" w14:textId="77777777" w:rsidTr="00020D23">
        <w:tc>
          <w:tcPr>
            <w:tcW w:w="3359" w:type="dxa"/>
          </w:tcPr>
          <w:p w14:paraId="2A8C1A47" w14:textId="77777777" w:rsidR="007D1645" w:rsidRPr="000A2745" w:rsidRDefault="007D1645" w:rsidP="00020D23">
            <w:r w:rsidRPr="000A2745">
              <w:t>BFL</w:t>
            </w:r>
          </w:p>
        </w:tc>
        <w:tc>
          <w:tcPr>
            <w:tcW w:w="3792" w:type="dxa"/>
          </w:tcPr>
          <w:p w14:paraId="5BD8D10F" w14:textId="77777777" w:rsidR="007D1645" w:rsidRPr="000A2745" w:rsidRDefault="007D1645" w:rsidP="00020D23">
            <w:proofErr w:type="spellStart"/>
            <w:r w:rsidRPr="000A2745">
              <w:t>Flange</w:t>
            </w:r>
            <w:proofErr w:type="spellEnd"/>
            <w:r w:rsidRPr="000A2745">
              <w:t xml:space="preserve"> </w:t>
            </w:r>
          </w:p>
        </w:tc>
      </w:tr>
      <w:tr w:rsidR="007D1645" w:rsidRPr="000A2745" w14:paraId="49C2E168" w14:textId="77777777" w:rsidTr="00020D23">
        <w:tc>
          <w:tcPr>
            <w:tcW w:w="3359" w:type="dxa"/>
          </w:tcPr>
          <w:p w14:paraId="4FB889AE" w14:textId="77777777" w:rsidR="007D1645" w:rsidRPr="000A2745" w:rsidRDefault="007D1645" w:rsidP="00020D23">
            <w:r w:rsidRPr="000A2745">
              <w:t>BDI</w:t>
            </w:r>
          </w:p>
        </w:tc>
        <w:tc>
          <w:tcPr>
            <w:tcW w:w="3792" w:type="dxa"/>
          </w:tcPr>
          <w:p w14:paraId="7586A708" w14:textId="77777777" w:rsidR="007D1645" w:rsidRPr="000A2745" w:rsidRDefault="007D1645" w:rsidP="00020D23">
            <w:proofErr w:type="spellStart"/>
            <w:r w:rsidRPr="000A2745">
              <w:t>Gasket</w:t>
            </w:r>
            <w:proofErr w:type="spellEnd"/>
          </w:p>
        </w:tc>
      </w:tr>
      <w:tr w:rsidR="007D1645" w:rsidRPr="000A2745" w14:paraId="64F9A4F5" w14:textId="77777777" w:rsidTr="00020D23">
        <w:tc>
          <w:tcPr>
            <w:tcW w:w="3359" w:type="dxa"/>
          </w:tcPr>
          <w:p w14:paraId="544E243A" w14:textId="77777777" w:rsidR="007D1645" w:rsidRPr="000A2745" w:rsidRDefault="007D1645" w:rsidP="00020D23">
            <w:r w:rsidRPr="000A2745">
              <w:t>BSC</w:t>
            </w:r>
          </w:p>
        </w:tc>
        <w:tc>
          <w:tcPr>
            <w:tcW w:w="3792" w:type="dxa"/>
          </w:tcPr>
          <w:p w14:paraId="54D0AFEB" w14:textId="77777777" w:rsidR="007D1645" w:rsidRPr="000A2745" w:rsidRDefault="007D1645" w:rsidP="00020D23">
            <w:r w:rsidRPr="000A2745">
              <w:t xml:space="preserve">Screws / </w:t>
            </w:r>
            <w:proofErr w:type="spellStart"/>
            <w:r w:rsidRPr="000A2745">
              <w:t>Fasteners</w:t>
            </w:r>
            <w:proofErr w:type="spellEnd"/>
          </w:p>
        </w:tc>
      </w:tr>
      <w:tr w:rsidR="007D1645" w:rsidRPr="000A2745" w14:paraId="58D4C2AE" w14:textId="77777777" w:rsidTr="00020D23">
        <w:tc>
          <w:tcPr>
            <w:tcW w:w="3359" w:type="dxa"/>
          </w:tcPr>
          <w:p w14:paraId="583A3BFF" w14:textId="77777777" w:rsidR="007D1645" w:rsidRPr="000A2745" w:rsidRDefault="007D1645" w:rsidP="00020D23">
            <w:r w:rsidRPr="000A2745">
              <w:t>BST</w:t>
            </w:r>
          </w:p>
        </w:tc>
        <w:tc>
          <w:tcPr>
            <w:tcW w:w="3792" w:type="dxa"/>
          </w:tcPr>
          <w:p w14:paraId="4D1C7C2E" w14:textId="77777777" w:rsidR="007D1645" w:rsidRPr="000A2745" w:rsidRDefault="007D1645" w:rsidP="00020D23">
            <w:proofErr w:type="spellStart"/>
            <w:r w:rsidRPr="000A2745">
              <w:t>Nozzle</w:t>
            </w:r>
            <w:proofErr w:type="spellEnd"/>
            <w:r w:rsidRPr="000A2745">
              <w:t xml:space="preserve"> </w:t>
            </w:r>
          </w:p>
        </w:tc>
      </w:tr>
      <w:tr w:rsidR="007D1645" w:rsidRPr="000A2745" w14:paraId="047D7311" w14:textId="77777777" w:rsidTr="00020D23">
        <w:tc>
          <w:tcPr>
            <w:tcW w:w="3359" w:type="dxa"/>
          </w:tcPr>
          <w:p w14:paraId="753D8279" w14:textId="77777777" w:rsidR="007D1645" w:rsidRPr="000A2745" w:rsidRDefault="007D1645" w:rsidP="00020D23">
            <w:r w:rsidRPr="000A2745">
              <w:t>BHA</w:t>
            </w:r>
          </w:p>
        </w:tc>
        <w:tc>
          <w:tcPr>
            <w:tcW w:w="3792" w:type="dxa"/>
          </w:tcPr>
          <w:p w14:paraId="53C3400F" w14:textId="77777777" w:rsidR="007D1645" w:rsidRPr="000A2745" w:rsidRDefault="007D1645" w:rsidP="00020D23">
            <w:r w:rsidRPr="000A2745">
              <w:t>Bracket</w:t>
            </w:r>
          </w:p>
        </w:tc>
      </w:tr>
      <w:tr w:rsidR="007D1645" w:rsidRPr="000A2745" w14:paraId="58EB8FCC" w14:textId="77777777" w:rsidTr="00020D23">
        <w:tc>
          <w:tcPr>
            <w:tcW w:w="3359" w:type="dxa"/>
          </w:tcPr>
          <w:p w14:paraId="5BB41111" w14:textId="77777777" w:rsidR="007D1645" w:rsidRPr="000A2745" w:rsidRDefault="007D1645" w:rsidP="00020D23">
            <w:r w:rsidRPr="000A2745">
              <w:t>BSP</w:t>
            </w:r>
          </w:p>
        </w:tc>
        <w:tc>
          <w:tcPr>
            <w:tcW w:w="3792" w:type="dxa"/>
          </w:tcPr>
          <w:p w14:paraId="25FF945E" w14:textId="77777777" w:rsidR="007D1645" w:rsidRPr="000A2745" w:rsidRDefault="007D1645" w:rsidP="00020D23">
            <w:r w:rsidRPr="000A2745">
              <w:t xml:space="preserve">Steel </w:t>
            </w:r>
            <w:proofErr w:type="spellStart"/>
            <w:r w:rsidRPr="000A2745">
              <w:t>profile</w:t>
            </w:r>
            <w:proofErr w:type="spellEnd"/>
          </w:p>
        </w:tc>
      </w:tr>
      <w:tr w:rsidR="007D1645" w:rsidRPr="000A2745" w14:paraId="33F1159B" w14:textId="77777777" w:rsidTr="00020D23">
        <w:tc>
          <w:tcPr>
            <w:tcW w:w="3359" w:type="dxa"/>
          </w:tcPr>
          <w:p w14:paraId="5FF8610B" w14:textId="77777777" w:rsidR="007D1645" w:rsidRPr="000A2745" w:rsidRDefault="007D1645" w:rsidP="00020D23">
            <w:r w:rsidRPr="000A2745">
              <w:t>BIS</w:t>
            </w:r>
          </w:p>
        </w:tc>
        <w:tc>
          <w:tcPr>
            <w:tcW w:w="3792" w:type="dxa"/>
          </w:tcPr>
          <w:p w14:paraId="56AFDE54" w14:textId="77777777" w:rsidR="007D1645" w:rsidRPr="009B0071" w:rsidRDefault="007D1645" w:rsidP="00020D23">
            <w:proofErr w:type="spellStart"/>
            <w:r w:rsidRPr="000A2745">
              <w:t>Insulation</w:t>
            </w:r>
            <w:proofErr w:type="spellEnd"/>
          </w:p>
        </w:tc>
      </w:tr>
      <w:tr w:rsidR="007D1645" w:rsidRPr="000A2745" w14:paraId="435FA15A" w14:textId="77777777" w:rsidTr="00020D23">
        <w:trPr>
          <w:trHeight w:val="201"/>
        </w:trPr>
        <w:tc>
          <w:tcPr>
            <w:tcW w:w="3359" w:type="dxa"/>
          </w:tcPr>
          <w:p w14:paraId="42D6B406" w14:textId="77777777" w:rsidR="007D1645" w:rsidRPr="000A2745" w:rsidRDefault="007D1645" w:rsidP="00020D23">
            <w:r w:rsidRPr="000A2745">
              <w:t>BRV</w:t>
            </w:r>
          </w:p>
        </w:tc>
        <w:tc>
          <w:tcPr>
            <w:tcW w:w="3792" w:type="dxa"/>
          </w:tcPr>
          <w:p w14:paraId="41C5266B" w14:textId="77777777" w:rsidR="007D1645" w:rsidRPr="009B0071" w:rsidRDefault="007D1645" w:rsidP="00020D23">
            <w:r w:rsidRPr="000A2745">
              <w:t xml:space="preserve">Pipe </w:t>
            </w:r>
            <w:proofErr w:type="spellStart"/>
            <w:r w:rsidRPr="000A2745">
              <w:t>fittings</w:t>
            </w:r>
            <w:proofErr w:type="spellEnd"/>
          </w:p>
        </w:tc>
      </w:tr>
    </w:tbl>
    <w:p w14:paraId="46BDC24D" w14:textId="77777777" w:rsidR="007D1645" w:rsidRPr="009B0071" w:rsidRDefault="007D1645" w:rsidP="007D1645">
      <w:pPr>
        <w:rPr>
          <w:b/>
          <w:bCs/>
        </w:rPr>
      </w:pPr>
    </w:p>
    <w:p w14:paraId="78D3DE2F" w14:textId="77777777" w:rsidR="007D1645" w:rsidRPr="009B0071" w:rsidRDefault="007D1645" w:rsidP="007D1645">
      <w:pPr>
        <w:rPr>
          <w:b/>
          <w:bCs/>
        </w:rPr>
      </w:pPr>
      <w:r w:rsidRPr="009B0071">
        <w:rPr>
          <w:b/>
          <w:bCs/>
        </w:rPr>
        <w:t>B. NON-BULK CODES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D1645" w:rsidRPr="000A2745" w14:paraId="5A8B819F" w14:textId="77777777" w:rsidTr="00020D23">
        <w:tc>
          <w:tcPr>
            <w:tcW w:w="4320" w:type="dxa"/>
          </w:tcPr>
          <w:p w14:paraId="72FFA596" w14:textId="77777777" w:rsidR="007D1645" w:rsidRPr="009B0071" w:rsidRDefault="007D1645" w:rsidP="00020D23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Code</w:t>
            </w:r>
          </w:p>
        </w:tc>
        <w:tc>
          <w:tcPr>
            <w:tcW w:w="4320" w:type="dxa"/>
          </w:tcPr>
          <w:p w14:paraId="548056B7" w14:textId="77777777" w:rsidR="007D1645" w:rsidRPr="009B0071" w:rsidRDefault="007D1645" w:rsidP="00020D23">
            <w:pPr>
              <w:rPr>
                <w:b/>
                <w:bCs/>
              </w:rPr>
            </w:pPr>
            <w:proofErr w:type="spellStart"/>
            <w:r w:rsidRPr="009B0071">
              <w:rPr>
                <w:b/>
                <w:bCs/>
              </w:rPr>
              <w:t>Component</w:t>
            </w:r>
            <w:proofErr w:type="spellEnd"/>
          </w:p>
        </w:tc>
      </w:tr>
      <w:tr w:rsidR="007D1645" w:rsidRPr="000A2745" w14:paraId="0B2199E8" w14:textId="77777777" w:rsidTr="00020D23">
        <w:tc>
          <w:tcPr>
            <w:tcW w:w="4320" w:type="dxa"/>
          </w:tcPr>
          <w:p w14:paraId="34F8941E" w14:textId="77777777" w:rsidR="007D1645" w:rsidRPr="000A2745" w:rsidRDefault="007D1645" w:rsidP="00020D23">
            <w:r w:rsidRPr="000A2745">
              <w:t>NBV</w:t>
            </w:r>
          </w:p>
        </w:tc>
        <w:tc>
          <w:tcPr>
            <w:tcW w:w="4320" w:type="dxa"/>
          </w:tcPr>
          <w:p w14:paraId="3F571731" w14:textId="77777777" w:rsidR="007D1645" w:rsidRPr="000A2745" w:rsidRDefault="007D1645" w:rsidP="00020D23">
            <w:r w:rsidRPr="000A2745">
              <w:t>Valve / Fitting</w:t>
            </w:r>
          </w:p>
        </w:tc>
      </w:tr>
      <w:tr w:rsidR="007D1645" w:rsidRPr="000A2745" w14:paraId="26A48EB2" w14:textId="77777777" w:rsidTr="00020D23">
        <w:tc>
          <w:tcPr>
            <w:tcW w:w="4320" w:type="dxa"/>
          </w:tcPr>
          <w:p w14:paraId="231A0A5D" w14:textId="77777777" w:rsidR="007D1645" w:rsidRPr="000A2745" w:rsidRDefault="007D1645" w:rsidP="00020D23">
            <w:r w:rsidRPr="000A2745">
              <w:t>NBI</w:t>
            </w:r>
          </w:p>
        </w:tc>
        <w:tc>
          <w:tcPr>
            <w:tcW w:w="4320" w:type="dxa"/>
          </w:tcPr>
          <w:p w14:paraId="390C444A" w14:textId="77777777" w:rsidR="007D1645" w:rsidRPr="000A2745" w:rsidRDefault="007D1645" w:rsidP="00020D23">
            <w:r w:rsidRPr="000A2745">
              <w:t>Instrument</w:t>
            </w:r>
          </w:p>
        </w:tc>
      </w:tr>
      <w:tr w:rsidR="007D1645" w:rsidRPr="000A2745" w14:paraId="5EEBDF99" w14:textId="77777777" w:rsidTr="00020D23">
        <w:tc>
          <w:tcPr>
            <w:tcW w:w="4320" w:type="dxa"/>
          </w:tcPr>
          <w:p w14:paraId="120304E7" w14:textId="77777777" w:rsidR="007D1645" w:rsidRPr="000A2745" w:rsidRDefault="007D1645" w:rsidP="00020D23">
            <w:r w:rsidRPr="000A2745">
              <w:t>NBF</w:t>
            </w:r>
          </w:p>
        </w:tc>
        <w:tc>
          <w:tcPr>
            <w:tcW w:w="4320" w:type="dxa"/>
          </w:tcPr>
          <w:p w14:paraId="18DFDB47" w14:textId="77777777" w:rsidR="007D1645" w:rsidRPr="000A2745" w:rsidRDefault="007D1645" w:rsidP="00020D23">
            <w:r w:rsidRPr="000A2745">
              <w:t>Filter</w:t>
            </w:r>
          </w:p>
        </w:tc>
      </w:tr>
      <w:tr w:rsidR="007D1645" w:rsidRPr="000A2745" w14:paraId="5E05C0E6" w14:textId="77777777" w:rsidTr="00020D23">
        <w:tc>
          <w:tcPr>
            <w:tcW w:w="4320" w:type="dxa"/>
          </w:tcPr>
          <w:p w14:paraId="19EDE240" w14:textId="77777777" w:rsidR="007D1645" w:rsidRPr="000A2745" w:rsidRDefault="007D1645" w:rsidP="00020D23">
            <w:r w:rsidRPr="000A2745">
              <w:t>NBW</w:t>
            </w:r>
          </w:p>
        </w:tc>
        <w:tc>
          <w:tcPr>
            <w:tcW w:w="4320" w:type="dxa"/>
          </w:tcPr>
          <w:p w14:paraId="560D79C8" w14:textId="77777777" w:rsidR="007D1645" w:rsidRPr="000A2745" w:rsidRDefault="007D1645" w:rsidP="00020D23">
            <w:r w:rsidRPr="000A2745">
              <w:t xml:space="preserve">Heat </w:t>
            </w:r>
            <w:proofErr w:type="spellStart"/>
            <w:r w:rsidRPr="000A2745">
              <w:t>exchanger</w:t>
            </w:r>
            <w:proofErr w:type="spellEnd"/>
          </w:p>
        </w:tc>
      </w:tr>
      <w:tr w:rsidR="007D1645" w:rsidRPr="000A2745" w14:paraId="6F96C73C" w14:textId="77777777" w:rsidTr="00020D23">
        <w:tc>
          <w:tcPr>
            <w:tcW w:w="4320" w:type="dxa"/>
          </w:tcPr>
          <w:p w14:paraId="1DC63031" w14:textId="77777777" w:rsidR="007D1645" w:rsidRPr="000A2745" w:rsidRDefault="007D1645" w:rsidP="00020D23">
            <w:r w:rsidRPr="000A2745">
              <w:t>NBB</w:t>
            </w:r>
          </w:p>
        </w:tc>
        <w:tc>
          <w:tcPr>
            <w:tcW w:w="4320" w:type="dxa"/>
          </w:tcPr>
          <w:p w14:paraId="57338C36" w14:textId="77777777" w:rsidR="007D1645" w:rsidRPr="000A2745" w:rsidRDefault="007D1645" w:rsidP="00020D23">
            <w:r w:rsidRPr="000A2745">
              <w:t>Tank</w:t>
            </w:r>
          </w:p>
        </w:tc>
      </w:tr>
      <w:tr w:rsidR="007D1645" w:rsidRPr="000A2745" w14:paraId="165685EE" w14:textId="77777777" w:rsidTr="00020D23">
        <w:tc>
          <w:tcPr>
            <w:tcW w:w="4320" w:type="dxa"/>
          </w:tcPr>
          <w:p w14:paraId="06663DEA" w14:textId="77777777" w:rsidR="007D1645" w:rsidRPr="000A2745" w:rsidRDefault="007D1645" w:rsidP="00020D23">
            <w:r w:rsidRPr="000A2745">
              <w:t>NBS</w:t>
            </w:r>
          </w:p>
        </w:tc>
        <w:tc>
          <w:tcPr>
            <w:tcW w:w="4320" w:type="dxa"/>
          </w:tcPr>
          <w:p w14:paraId="1B61E9E4" w14:textId="77777777" w:rsidR="007D1645" w:rsidRPr="000A2745" w:rsidRDefault="007D1645" w:rsidP="00020D23">
            <w:proofErr w:type="spellStart"/>
            <w:r w:rsidRPr="000A2745">
              <w:t>Skid</w:t>
            </w:r>
            <w:proofErr w:type="spellEnd"/>
          </w:p>
        </w:tc>
      </w:tr>
      <w:tr w:rsidR="007D1645" w:rsidRPr="000A2745" w14:paraId="312BB339" w14:textId="77777777" w:rsidTr="00020D23">
        <w:tc>
          <w:tcPr>
            <w:tcW w:w="4320" w:type="dxa"/>
          </w:tcPr>
          <w:p w14:paraId="105CB47C" w14:textId="77777777" w:rsidR="007D1645" w:rsidRPr="000A2745" w:rsidRDefault="007D1645" w:rsidP="00020D23">
            <w:r w:rsidRPr="000A2745">
              <w:t>NBG</w:t>
            </w:r>
          </w:p>
        </w:tc>
        <w:tc>
          <w:tcPr>
            <w:tcW w:w="4320" w:type="dxa"/>
          </w:tcPr>
          <w:p w14:paraId="4F84B54A" w14:textId="77777777" w:rsidR="007D1645" w:rsidRPr="000A2745" w:rsidRDefault="007D1645" w:rsidP="00020D23">
            <w:r w:rsidRPr="000A2745">
              <w:t>Assembly</w:t>
            </w:r>
          </w:p>
        </w:tc>
      </w:tr>
      <w:tr w:rsidR="007D1645" w:rsidRPr="000A2745" w14:paraId="58518058" w14:textId="77777777" w:rsidTr="00020D23">
        <w:tc>
          <w:tcPr>
            <w:tcW w:w="4320" w:type="dxa"/>
          </w:tcPr>
          <w:p w14:paraId="7487554A" w14:textId="77777777" w:rsidR="007D1645" w:rsidRPr="000A2745" w:rsidRDefault="007D1645" w:rsidP="00020D23">
            <w:r w:rsidRPr="000A2745">
              <w:t>NBD</w:t>
            </w:r>
          </w:p>
        </w:tc>
        <w:tc>
          <w:tcPr>
            <w:tcW w:w="4320" w:type="dxa"/>
          </w:tcPr>
          <w:p w14:paraId="06DFF1F2" w14:textId="77777777" w:rsidR="007D1645" w:rsidRPr="000A2745" w:rsidRDefault="007D1645" w:rsidP="00020D23">
            <w:r w:rsidRPr="000A2745">
              <w:t xml:space="preserve">Drawing </w:t>
            </w:r>
            <w:proofErr w:type="spellStart"/>
            <w:r w:rsidRPr="000A2745">
              <w:t>part</w:t>
            </w:r>
            <w:proofErr w:type="spellEnd"/>
          </w:p>
        </w:tc>
      </w:tr>
      <w:tr w:rsidR="007D1645" w:rsidRPr="000A2745" w14:paraId="5B86069A" w14:textId="77777777" w:rsidTr="00020D23">
        <w:tc>
          <w:tcPr>
            <w:tcW w:w="4320" w:type="dxa"/>
          </w:tcPr>
          <w:p w14:paraId="49B588FC" w14:textId="77777777" w:rsidR="007D1645" w:rsidRPr="000A2745" w:rsidRDefault="007D1645" w:rsidP="00020D23">
            <w:r w:rsidRPr="000A2745">
              <w:t>NBM</w:t>
            </w:r>
          </w:p>
        </w:tc>
        <w:tc>
          <w:tcPr>
            <w:tcW w:w="4320" w:type="dxa"/>
          </w:tcPr>
          <w:p w14:paraId="5454FD4B" w14:textId="77777777" w:rsidR="007D1645" w:rsidRPr="000A2745" w:rsidRDefault="007D1645" w:rsidP="00020D23">
            <w:r w:rsidRPr="000A2745">
              <w:t>Module</w:t>
            </w:r>
          </w:p>
        </w:tc>
      </w:tr>
    </w:tbl>
    <w:p w14:paraId="3FB8326A" w14:textId="77777777" w:rsidR="007D1645" w:rsidRPr="000A2745" w:rsidRDefault="007D1645" w:rsidP="007D1645"/>
    <w:p w14:paraId="1872D8A3" w14:textId="77777777" w:rsidR="007D1645" w:rsidRPr="009B0071" w:rsidRDefault="007D1645" w:rsidP="007D1645">
      <w:pPr>
        <w:rPr>
          <w:b/>
          <w:bCs/>
        </w:rPr>
      </w:pPr>
      <w:r w:rsidRPr="009B0071">
        <w:rPr>
          <w:b/>
          <w:bCs/>
        </w:rPr>
        <w:t xml:space="preserve">C. </w:t>
      </w:r>
      <w:proofErr w:type="spellStart"/>
      <w:r w:rsidRPr="009B0071">
        <w:rPr>
          <w:b/>
          <w:bCs/>
        </w:rPr>
        <w:t>Document</w:t>
      </w:r>
      <w:proofErr w:type="spellEnd"/>
      <w:r w:rsidRPr="009B0071">
        <w:rPr>
          <w:b/>
          <w:bCs/>
        </w:rPr>
        <w:t xml:space="preserve"> </w:t>
      </w:r>
      <w:proofErr w:type="spellStart"/>
      <w:r w:rsidRPr="009B0071">
        <w:rPr>
          <w:b/>
          <w:bCs/>
        </w:rPr>
        <w:t>types</w:t>
      </w:r>
      <w:proofErr w:type="spellEnd"/>
      <w:r w:rsidRPr="009B0071">
        <w:rPr>
          <w:b/>
          <w:bCs/>
        </w:rPr>
        <w:t xml:space="preserve"> (DOCTYPE)</w:t>
      </w:r>
    </w:p>
    <w:p w14:paraId="08EDADAD" w14:textId="77777777" w:rsidR="007D1645" w:rsidRPr="000A2745" w:rsidRDefault="007D1645" w:rsidP="007D164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D1645" w:rsidRPr="000A2745" w14:paraId="637637D4" w14:textId="77777777" w:rsidTr="00020D23">
        <w:tc>
          <w:tcPr>
            <w:tcW w:w="4320" w:type="dxa"/>
          </w:tcPr>
          <w:p w14:paraId="212C6BC3" w14:textId="77777777" w:rsidR="007D1645" w:rsidRPr="009B0071" w:rsidRDefault="007D1645" w:rsidP="00020D23">
            <w:pPr>
              <w:rPr>
                <w:b/>
                <w:bCs/>
              </w:rPr>
            </w:pPr>
            <w:r w:rsidRPr="009B0071">
              <w:rPr>
                <w:b/>
                <w:bCs/>
              </w:rPr>
              <w:t>Code</w:t>
            </w:r>
          </w:p>
        </w:tc>
        <w:tc>
          <w:tcPr>
            <w:tcW w:w="4320" w:type="dxa"/>
          </w:tcPr>
          <w:p w14:paraId="402EEE3C" w14:textId="77777777" w:rsidR="007D1645" w:rsidRPr="009B0071" w:rsidRDefault="007D1645" w:rsidP="00020D23">
            <w:pPr>
              <w:rPr>
                <w:b/>
                <w:bCs/>
              </w:rPr>
            </w:pPr>
            <w:proofErr w:type="spellStart"/>
            <w:r w:rsidRPr="009B0071">
              <w:rPr>
                <w:b/>
                <w:bCs/>
              </w:rPr>
              <w:t>Meaning</w:t>
            </w:r>
            <w:proofErr w:type="spellEnd"/>
          </w:p>
        </w:tc>
      </w:tr>
      <w:tr w:rsidR="007D1645" w:rsidRPr="000A2745" w14:paraId="15BDECC8" w14:textId="77777777" w:rsidTr="00020D23">
        <w:tc>
          <w:tcPr>
            <w:tcW w:w="4320" w:type="dxa"/>
          </w:tcPr>
          <w:p w14:paraId="4948BD85" w14:textId="77777777" w:rsidR="007D1645" w:rsidRPr="000A2745" w:rsidRDefault="007D1645" w:rsidP="00020D23">
            <w:r w:rsidRPr="000A2745">
              <w:t>31</w:t>
            </w:r>
          </w:p>
        </w:tc>
        <w:tc>
          <w:tcPr>
            <w:tcW w:w="4320" w:type="dxa"/>
          </w:tcPr>
          <w:p w14:paraId="069B7AAD" w14:textId="77777777" w:rsidR="007D1645" w:rsidRPr="000A2745" w:rsidRDefault="007D1645" w:rsidP="00020D23">
            <w:r w:rsidRPr="000A2745">
              <w:t xml:space="preserve">Factory </w:t>
            </w:r>
            <w:proofErr w:type="spellStart"/>
            <w:r w:rsidRPr="000A2745">
              <w:t>certificate</w:t>
            </w:r>
            <w:proofErr w:type="spellEnd"/>
            <w:r w:rsidRPr="000A2745">
              <w:t xml:space="preserve"> 3.1</w:t>
            </w:r>
          </w:p>
        </w:tc>
      </w:tr>
      <w:tr w:rsidR="007D1645" w:rsidRPr="000A2745" w14:paraId="528DA037" w14:textId="77777777" w:rsidTr="00020D23">
        <w:tc>
          <w:tcPr>
            <w:tcW w:w="4320" w:type="dxa"/>
          </w:tcPr>
          <w:p w14:paraId="32317565" w14:textId="77777777" w:rsidR="007D1645" w:rsidRPr="000A2745" w:rsidRDefault="007D1645" w:rsidP="00020D23">
            <w:r w:rsidRPr="000A2745">
              <w:t>32</w:t>
            </w:r>
          </w:p>
        </w:tc>
        <w:tc>
          <w:tcPr>
            <w:tcW w:w="4320" w:type="dxa"/>
          </w:tcPr>
          <w:p w14:paraId="2E717B22" w14:textId="77777777" w:rsidR="007D1645" w:rsidRPr="000A2745" w:rsidRDefault="007D1645" w:rsidP="00020D23">
            <w:r w:rsidRPr="000A2745">
              <w:t xml:space="preserve">Factory </w:t>
            </w:r>
            <w:proofErr w:type="spellStart"/>
            <w:r w:rsidRPr="000A2745">
              <w:t>certificate</w:t>
            </w:r>
            <w:proofErr w:type="spellEnd"/>
            <w:r w:rsidRPr="000A2745">
              <w:t xml:space="preserve"> 3.2</w:t>
            </w:r>
          </w:p>
        </w:tc>
      </w:tr>
      <w:tr w:rsidR="007D1645" w:rsidRPr="000A2745" w14:paraId="156296ED" w14:textId="77777777" w:rsidTr="00020D23">
        <w:tc>
          <w:tcPr>
            <w:tcW w:w="4320" w:type="dxa"/>
          </w:tcPr>
          <w:p w14:paraId="1E484828" w14:textId="77777777" w:rsidR="007D1645" w:rsidRPr="000A2745" w:rsidRDefault="007D1645" w:rsidP="00020D23">
            <w:proofErr w:type="spellStart"/>
            <w:r w:rsidRPr="000A2745">
              <w:t>CoC</w:t>
            </w:r>
            <w:proofErr w:type="spellEnd"/>
          </w:p>
        </w:tc>
        <w:tc>
          <w:tcPr>
            <w:tcW w:w="4320" w:type="dxa"/>
          </w:tcPr>
          <w:p w14:paraId="5604E8C4" w14:textId="77777777" w:rsidR="007D1645" w:rsidRPr="000A2745" w:rsidRDefault="007D1645" w:rsidP="00020D23">
            <w:proofErr w:type="spellStart"/>
            <w:r w:rsidRPr="000A2745">
              <w:t>Certificate</w:t>
            </w:r>
            <w:proofErr w:type="spellEnd"/>
            <w:r w:rsidRPr="000A2745">
              <w:t xml:space="preserve"> </w:t>
            </w:r>
            <w:proofErr w:type="spellStart"/>
            <w:r w:rsidRPr="000A2745">
              <w:t>of</w:t>
            </w:r>
            <w:proofErr w:type="spellEnd"/>
            <w:r w:rsidRPr="000A2745">
              <w:t xml:space="preserve"> </w:t>
            </w:r>
            <w:proofErr w:type="spellStart"/>
            <w:r w:rsidRPr="000A2745">
              <w:t>conformity</w:t>
            </w:r>
            <w:proofErr w:type="spellEnd"/>
          </w:p>
        </w:tc>
      </w:tr>
      <w:tr w:rsidR="007D1645" w:rsidRPr="000A2745" w14:paraId="5906D406" w14:textId="77777777" w:rsidTr="00020D23">
        <w:tc>
          <w:tcPr>
            <w:tcW w:w="4320" w:type="dxa"/>
          </w:tcPr>
          <w:p w14:paraId="0244AEE9" w14:textId="77777777" w:rsidR="007D1645" w:rsidRPr="000A2745" w:rsidRDefault="007D1645" w:rsidP="00020D23">
            <w:r w:rsidRPr="000A2745">
              <w:t>DRW</w:t>
            </w:r>
          </w:p>
        </w:tc>
        <w:tc>
          <w:tcPr>
            <w:tcW w:w="4320" w:type="dxa"/>
          </w:tcPr>
          <w:p w14:paraId="1FF6C596" w14:textId="77777777" w:rsidR="007D1645" w:rsidRPr="000A2745" w:rsidRDefault="007D1645" w:rsidP="00020D23">
            <w:r w:rsidRPr="000A2745">
              <w:t>Drawing</w:t>
            </w:r>
          </w:p>
        </w:tc>
      </w:tr>
      <w:tr w:rsidR="007D1645" w:rsidRPr="000A2745" w14:paraId="3C1DBBEE" w14:textId="77777777" w:rsidTr="00020D23">
        <w:tc>
          <w:tcPr>
            <w:tcW w:w="4320" w:type="dxa"/>
          </w:tcPr>
          <w:p w14:paraId="7600D46D" w14:textId="77777777" w:rsidR="007D1645" w:rsidRPr="000A2745" w:rsidRDefault="007D1645" w:rsidP="00020D23">
            <w:r w:rsidRPr="000A2745">
              <w:t>WPS</w:t>
            </w:r>
          </w:p>
        </w:tc>
        <w:tc>
          <w:tcPr>
            <w:tcW w:w="4320" w:type="dxa"/>
          </w:tcPr>
          <w:p w14:paraId="18E2492B" w14:textId="77777777" w:rsidR="007D1645" w:rsidRPr="000A2745" w:rsidRDefault="007D1645" w:rsidP="00020D23">
            <w:r w:rsidRPr="000A2745">
              <w:t xml:space="preserve">Welding </w:t>
            </w:r>
            <w:proofErr w:type="spellStart"/>
            <w:r w:rsidRPr="000A2745">
              <w:t>procedure</w:t>
            </w:r>
            <w:proofErr w:type="spellEnd"/>
            <w:r w:rsidRPr="000A2745">
              <w:t xml:space="preserve"> </w:t>
            </w:r>
            <w:proofErr w:type="spellStart"/>
            <w:r w:rsidRPr="000A2745">
              <w:t>specification</w:t>
            </w:r>
            <w:proofErr w:type="spellEnd"/>
          </w:p>
        </w:tc>
      </w:tr>
      <w:tr w:rsidR="007D1645" w:rsidRPr="000A2745" w14:paraId="1F32A659" w14:textId="77777777" w:rsidTr="00020D23">
        <w:tc>
          <w:tcPr>
            <w:tcW w:w="4320" w:type="dxa"/>
          </w:tcPr>
          <w:p w14:paraId="5BBF73F9" w14:textId="77777777" w:rsidR="007D1645" w:rsidRPr="000A2745" w:rsidRDefault="007D1645" w:rsidP="00020D23">
            <w:r w:rsidRPr="000A2745">
              <w:t>WPQR</w:t>
            </w:r>
          </w:p>
        </w:tc>
        <w:tc>
          <w:tcPr>
            <w:tcW w:w="4320" w:type="dxa"/>
          </w:tcPr>
          <w:p w14:paraId="5AD1017B" w14:textId="77777777" w:rsidR="007D1645" w:rsidRPr="000A2745" w:rsidRDefault="007D1645" w:rsidP="00020D23">
            <w:r w:rsidRPr="000A2745">
              <w:t xml:space="preserve">Welding </w:t>
            </w:r>
            <w:proofErr w:type="spellStart"/>
            <w:r w:rsidRPr="000A2745">
              <w:t>procedure</w:t>
            </w:r>
            <w:proofErr w:type="spellEnd"/>
            <w:r w:rsidRPr="000A2745">
              <w:t xml:space="preserve"> </w:t>
            </w:r>
            <w:proofErr w:type="spellStart"/>
            <w:r w:rsidRPr="000A2745">
              <w:t>qualification</w:t>
            </w:r>
            <w:proofErr w:type="spellEnd"/>
          </w:p>
        </w:tc>
      </w:tr>
      <w:tr w:rsidR="007D1645" w:rsidRPr="000A2745" w14:paraId="5D349972" w14:textId="77777777" w:rsidTr="00020D23">
        <w:tc>
          <w:tcPr>
            <w:tcW w:w="4320" w:type="dxa"/>
          </w:tcPr>
          <w:p w14:paraId="752475ED" w14:textId="77777777" w:rsidR="007D1645" w:rsidRPr="000A2745" w:rsidRDefault="007D1645" w:rsidP="00020D23">
            <w:r w:rsidRPr="000A2745">
              <w:t>DOK</w:t>
            </w:r>
          </w:p>
        </w:tc>
        <w:tc>
          <w:tcPr>
            <w:tcW w:w="4320" w:type="dxa"/>
          </w:tcPr>
          <w:p w14:paraId="12CCFDE3" w14:textId="77777777" w:rsidR="007D1645" w:rsidRPr="000A2745" w:rsidRDefault="007D1645" w:rsidP="00020D23">
            <w:r w:rsidRPr="000A2745">
              <w:t xml:space="preserve">Other </w:t>
            </w:r>
            <w:proofErr w:type="spellStart"/>
            <w:r w:rsidRPr="000A2745">
              <w:t>documentation</w:t>
            </w:r>
            <w:proofErr w:type="spellEnd"/>
          </w:p>
        </w:tc>
      </w:tr>
    </w:tbl>
    <w:p w14:paraId="45EF9C28" w14:textId="77777777" w:rsidR="007D1645" w:rsidRPr="000A2745" w:rsidRDefault="007D1645" w:rsidP="007D1645"/>
    <w:p w14:paraId="14467A08" w14:textId="77777777" w:rsidR="007D1645" w:rsidRPr="000A2745" w:rsidRDefault="007D1645" w:rsidP="007D1645">
      <w:pPr>
        <w:pStyle w:val="berschrift1"/>
        <w:ind w:left="431" w:hanging="431"/>
      </w:pPr>
      <w:proofErr w:type="spellStart"/>
      <w:r w:rsidRPr="000A2745">
        <w:t>Validity</w:t>
      </w:r>
      <w:proofErr w:type="spellEnd"/>
    </w:p>
    <w:p w14:paraId="6EC45407" w14:textId="77777777" w:rsidR="007D1645" w:rsidRPr="007D1645" w:rsidRDefault="007D1645" w:rsidP="007D1645">
      <w:pPr>
        <w:rPr>
          <w:lang w:val="en-US"/>
        </w:rPr>
      </w:pPr>
      <w:r w:rsidRPr="007D1645">
        <w:rPr>
          <w:lang w:val="en-US"/>
        </w:rPr>
        <w:t>These delivery terms shall come into effect upon publication and shall apply to all current and future orders, provided that reference is made to them in the order text.</w:t>
      </w:r>
    </w:p>
    <w:p w14:paraId="7CD8898C" w14:textId="77777777" w:rsidR="007D1645" w:rsidRPr="007D1645" w:rsidRDefault="007D1645" w:rsidP="007D1645">
      <w:pPr>
        <w:rPr>
          <w:lang w:val="en-US"/>
        </w:rPr>
      </w:pPr>
    </w:p>
    <w:p w14:paraId="53B5B3C2" w14:textId="77777777" w:rsidR="00142E92" w:rsidRPr="007D1645" w:rsidRDefault="00142E92" w:rsidP="00142E92">
      <w:pPr>
        <w:rPr>
          <w:lang w:val="en-US"/>
        </w:rPr>
      </w:pPr>
    </w:p>
    <w:sectPr w:rsidR="00142E92" w:rsidRPr="007D1645" w:rsidSect="007D1645">
      <w:headerReference w:type="default" r:id="rId17"/>
      <w:footerReference w:type="default" r:id="rId18"/>
      <w:pgSz w:w="11906" w:h="16838"/>
      <w:pgMar w:top="1701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8D40" w14:textId="77777777" w:rsidR="00157A30" w:rsidRDefault="00157A30" w:rsidP="008C1D72">
      <w:r>
        <w:separator/>
      </w:r>
    </w:p>
  </w:endnote>
  <w:endnote w:type="continuationSeparator" w:id="0">
    <w:p w14:paraId="6544080A" w14:textId="77777777" w:rsidR="00157A30" w:rsidRDefault="00157A30" w:rsidP="008C1D72">
      <w:r>
        <w:continuationSeparator/>
      </w:r>
    </w:p>
  </w:endnote>
  <w:endnote w:type="continuationNotice" w:id="1">
    <w:p w14:paraId="463F20B9" w14:textId="77777777" w:rsidR="00157A30" w:rsidRDefault="00157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908C" w14:textId="77777777" w:rsidR="005D61BF" w:rsidRDefault="005D61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1A90" w14:textId="55EE6067" w:rsidR="002C533A" w:rsidRPr="002C533A" w:rsidRDefault="006C6074" w:rsidP="00FD18C7">
    <w:pPr>
      <w:pStyle w:val="Fuzeile"/>
      <w:ind w:right="-115"/>
      <w:jc w:val="center"/>
      <w:rPr>
        <w:sz w:val="18"/>
        <w:szCs w:val="18"/>
      </w:rPr>
    </w:pPr>
    <w:r w:rsidRPr="005055DC">
      <w:rPr>
        <w:bCs/>
        <w:sz w:val="18"/>
        <w:szCs w:val="18"/>
      </w:rPr>
      <w:t>Liefervorschrift Anlieferzustand &amp; Sauberkeit</w:t>
    </w:r>
    <w:r w:rsidR="002C533A">
      <w:rPr>
        <w:sz w:val="18"/>
        <w:szCs w:val="18"/>
      </w:rPr>
      <w:tab/>
    </w:r>
    <w:r w:rsidR="002C533A">
      <w:rPr>
        <w:rFonts w:ascii="Calibri" w:hAnsi="Calibri" w:cs="Calibri"/>
        <w:sz w:val="22"/>
      </w:rPr>
      <w:tab/>
    </w:r>
    <w:r w:rsidR="00FD18C7">
      <w:rPr>
        <w:rFonts w:ascii="Calibri" w:hAnsi="Calibri" w:cs="Calibri"/>
        <w:sz w:val="22"/>
      </w:rPr>
      <w:tab/>
    </w:r>
    <w:r w:rsidR="002C533A" w:rsidRPr="00AD266E">
      <w:rPr>
        <w:sz w:val="18"/>
        <w:szCs w:val="18"/>
        <w:lang w:val="de-DE"/>
      </w:rPr>
      <w:t xml:space="preserve">Seite </w:t>
    </w:r>
    <w:r w:rsidR="002C533A" w:rsidRPr="00AD266E">
      <w:rPr>
        <w:sz w:val="18"/>
        <w:szCs w:val="18"/>
      </w:rPr>
      <w:fldChar w:fldCharType="begin"/>
    </w:r>
    <w:r w:rsidR="002C533A" w:rsidRPr="00AD266E">
      <w:rPr>
        <w:sz w:val="18"/>
        <w:szCs w:val="18"/>
      </w:rPr>
      <w:instrText>PAGE  \* Arabic  \* MERGEFORMAT</w:instrText>
    </w:r>
    <w:r w:rsidR="002C533A" w:rsidRPr="00AD266E">
      <w:rPr>
        <w:sz w:val="18"/>
        <w:szCs w:val="18"/>
      </w:rPr>
      <w:fldChar w:fldCharType="separate"/>
    </w:r>
    <w:r w:rsidR="002C533A">
      <w:rPr>
        <w:sz w:val="18"/>
        <w:szCs w:val="18"/>
      </w:rPr>
      <w:t>1</w:t>
    </w:r>
    <w:r w:rsidR="002C533A" w:rsidRPr="00AD266E">
      <w:rPr>
        <w:sz w:val="18"/>
        <w:szCs w:val="18"/>
      </w:rPr>
      <w:fldChar w:fldCharType="end"/>
    </w:r>
    <w:r w:rsidR="002C533A" w:rsidRPr="00AD266E">
      <w:rPr>
        <w:sz w:val="18"/>
        <w:szCs w:val="18"/>
        <w:lang w:val="de-DE"/>
      </w:rPr>
      <w:t xml:space="preserve"> von </w:t>
    </w:r>
    <w:r w:rsidR="002C533A" w:rsidRPr="00AD266E">
      <w:rPr>
        <w:sz w:val="18"/>
        <w:szCs w:val="18"/>
      </w:rPr>
      <w:fldChar w:fldCharType="begin"/>
    </w:r>
    <w:r w:rsidR="002C533A" w:rsidRPr="00AD266E">
      <w:rPr>
        <w:sz w:val="18"/>
        <w:szCs w:val="18"/>
      </w:rPr>
      <w:instrText>NUMPAGES  \* Arabic  \* MERGEFORMAT</w:instrText>
    </w:r>
    <w:r w:rsidR="002C533A" w:rsidRPr="00AD266E">
      <w:rPr>
        <w:sz w:val="18"/>
        <w:szCs w:val="18"/>
      </w:rPr>
      <w:fldChar w:fldCharType="separate"/>
    </w:r>
    <w:r w:rsidR="002C533A">
      <w:rPr>
        <w:sz w:val="18"/>
        <w:szCs w:val="18"/>
      </w:rPr>
      <w:t>3</w:t>
    </w:r>
    <w:r w:rsidR="002C533A" w:rsidRPr="00AD266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C632" w14:textId="77777777" w:rsidR="005D61BF" w:rsidRDefault="005D61B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0E9E" w14:textId="670CE826" w:rsidR="006C6074" w:rsidRPr="006C6074" w:rsidRDefault="006C6074" w:rsidP="00FD18C7">
    <w:pPr>
      <w:pStyle w:val="Fuzeile"/>
      <w:ind w:right="-115"/>
      <w:jc w:val="center"/>
      <w:rPr>
        <w:sz w:val="18"/>
        <w:szCs w:val="18"/>
        <w:lang w:val="en-US"/>
      </w:rPr>
    </w:pPr>
    <w:r w:rsidRPr="00CB6910">
      <w:rPr>
        <w:bCs/>
        <w:sz w:val="18"/>
        <w:szCs w:val="18"/>
        <w:lang w:val="en-US"/>
      </w:rPr>
      <w:t>Delivery specifications Delivery condition &amp; cleanliness</w:t>
    </w:r>
    <w:r>
      <w:rPr>
        <w:sz w:val="18"/>
        <w:szCs w:val="18"/>
        <w:lang w:val="en-US"/>
      </w:rPr>
      <w:t xml:space="preserve">                                                                                       </w:t>
    </w:r>
    <w:r w:rsidRPr="006C6074">
      <w:rPr>
        <w:rFonts w:ascii="Calibri" w:hAnsi="Calibri" w:cs="Calibri"/>
        <w:sz w:val="22"/>
        <w:lang w:val="en-US"/>
      </w:rPr>
      <w:tab/>
    </w:r>
    <w:r>
      <w:rPr>
        <w:sz w:val="18"/>
        <w:szCs w:val="18"/>
        <w:lang w:val="en-US"/>
      </w:rPr>
      <w:t>pag</w:t>
    </w:r>
    <w:r w:rsidRPr="006C6074">
      <w:rPr>
        <w:sz w:val="18"/>
        <w:szCs w:val="18"/>
        <w:lang w:val="en-US"/>
      </w:rPr>
      <w:t xml:space="preserve">e </w:t>
    </w:r>
    <w:r w:rsidRPr="00AD266E">
      <w:rPr>
        <w:sz w:val="18"/>
        <w:szCs w:val="18"/>
      </w:rPr>
      <w:fldChar w:fldCharType="begin"/>
    </w:r>
    <w:r w:rsidRPr="006C6074">
      <w:rPr>
        <w:sz w:val="18"/>
        <w:szCs w:val="18"/>
        <w:lang w:val="en-US"/>
      </w:rPr>
      <w:instrText>PAGE  \* Arabic  \* MERGEFORMAT</w:instrText>
    </w:r>
    <w:r w:rsidRPr="00AD266E">
      <w:rPr>
        <w:sz w:val="18"/>
        <w:szCs w:val="18"/>
      </w:rPr>
      <w:fldChar w:fldCharType="separate"/>
    </w:r>
    <w:r w:rsidRPr="006C6074">
      <w:rPr>
        <w:sz w:val="18"/>
        <w:szCs w:val="18"/>
        <w:lang w:val="en-US"/>
      </w:rPr>
      <w:t>1</w:t>
    </w:r>
    <w:r w:rsidRPr="00AD266E">
      <w:rPr>
        <w:sz w:val="18"/>
        <w:szCs w:val="18"/>
      </w:rPr>
      <w:fldChar w:fldCharType="end"/>
    </w:r>
    <w:r w:rsidRPr="006C6074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from</w:t>
    </w:r>
    <w:r w:rsidRPr="006C6074">
      <w:rPr>
        <w:sz w:val="18"/>
        <w:szCs w:val="18"/>
        <w:lang w:val="en-US"/>
      </w:rPr>
      <w:t xml:space="preserve"> </w:t>
    </w:r>
    <w:r w:rsidRPr="00AD266E">
      <w:rPr>
        <w:sz w:val="18"/>
        <w:szCs w:val="18"/>
      </w:rPr>
      <w:fldChar w:fldCharType="begin"/>
    </w:r>
    <w:r w:rsidRPr="006C6074">
      <w:rPr>
        <w:sz w:val="18"/>
        <w:szCs w:val="18"/>
        <w:lang w:val="en-US"/>
      </w:rPr>
      <w:instrText>NUMPAGES  \* Arabic  \* MERGEFORMAT</w:instrText>
    </w:r>
    <w:r w:rsidRPr="00AD266E">
      <w:rPr>
        <w:sz w:val="18"/>
        <w:szCs w:val="18"/>
      </w:rPr>
      <w:fldChar w:fldCharType="separate"/>
    </w:r>
    <w:r w:rsidRPr="006C6074">
      <w:rPr>
        <w:sz w:val="18"/>
        <w:szCs w:val="18"/>
        <w:lang w:val="en-US"/>
      </w:rPr>
      <w:t>3</w:t>
    </w:r>
    <w:r w:rsidRPr="00AD266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DF2C" w14:textId="77777777" w:rsidR="00157A30" w:rsidRDefault="00157A30" w:rsidP="008C1D72">
      <w:r>
        <w:separator/>
      </w:r>
    </w:p>
  </w:footnote>
  <w:footnote w:type="continuationSeparator" w:id="0">
    <w:p w14:paraId="58FEF3BC" w14:textId="77777777" w:rsidR="00157A30" w:rsidRDefault="00157A30" w:rsidP="008C1D72">
      <w:r>
        <w:continuationSeparator/>
      </w:r>
    </w:p>
  </w:footnote>
  <w:footnote w:type="continuationNotice" w:id="1">
    <w:p w14:paraId="75FE0E8F" w14:textId="77777777" w:rsidR="00157A30" w:rsidRDefault="00157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60D4" w14:textId="77777777" w:rsidR="005D61BF" w:rsidRDefault="005D61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3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91"/>
      <w:gridCol w:w="2041"/>
    </w:tblGrid>
    <w:tr w:rsidR="008C1D72" w:rsidRPr="002921CB" w14:paraId="624924DA" w14:textId="77777777" w:rsidTr="00570742">
      <w:trPr>
        <w:trHeight w:val="563"/>
      </w:trPr>
      <w:tc>
        <w:tcPr>
          <w:tcW w:w="8391" w:type="dxa"/>
          <w:vMerge w:val="restart"/>
        </w:tcPr>
        <w:p w14:paraId="697308AD" w14:textId="77777777" w:rsidR="008C1D72" w:rsidRDefault="008C1D72" w:rsidP="008C1D72">
          <w:pPr>
            <w:pStyle w:val="Kopfzeile"/>
            <w:tabs>
              <w:tab w:val="clear" w:pos="4536"/>
              <w:tab w:val="left" w:pos="1586"/>
              <w:tab w:val="left" w:pos="1634"/>
              <w:tab w:val="left" w:pos="1926"/>
            </w:tabs>
            <w:rPr>
              <w:rFonts w:ascii="Century Gothic" w:hAnsi="Century Gothic"/>
              <w:bCs/>
              <w:sz w:val="12"/>
              <w:szCs w:val="12"/>
            </w:rPr>
          </w:pPr>
        </w:p>
        <w:tbl>
          <w:tblPr>
            <w:tblStyle w:val="Tabellenraster"/>
            <w:tblW w:w="82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39"/>
            <w:gridCol w:w="4804"/>
          </w:tblGrid>
          <w:tr w:rsidR="008C1D72" w14:paraId="3EEB4DC3" w14:textId="77777777" w:rsidTr="000A4A2D">
            <w:trPr>
              <w:trHeight w:val="283"/>
            </w:trPr>
            <w:tc>
              <w:tcPr>
                <w:tcW w:w="3439" w:type="dxa"/>
                <w:vAlign w:val="center"/>
              </w:tcPr>
              <w:p w14:paraId="7D20CDC7" w14:textId="4E20F305" w:rsidR="008C1D72" w:rsidRPr="00313353" w:rsidRDefault="00EA350B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8"/>
                    <w:szCs w:val="18"/>
                  </w:rPr>
                </w:pPr>
                <w:r w:rsidRPr="00313353">
                  <w:rPr>
                    <w:rFonts w:ascii="Century Gothic" w:hAnsi="Century Gothic"/>
                    <w:bCs/>
                    <w:sz w:val="18"/>
                    <w:szCs w:val="18"/>
                  </w:rPr>
                  <w:t>SM</w:t>
                </w:r>
                <w:r w:rsidR="005D61BF">
                  <w:rPr>
                    <w:rFonts w:ascii="Century Gothic" w:hAnsi="Century Gothic"/>
                    <w:bCs/>
                    <w:sz w:val="18"/>
                    <w:szCs w:val="18"/>
                  </w:rPr>
                  <w:t>R</w:t>
                </w:r>
                <w:r w:rsidR="008C1D72" w:rsidRPr="00313353">
                  <w:rPr>
                    <w:rFonts w:ascii="Century Gothic" w:hAnsi="Century Gothic"/>
                    <w:bCs/>
                    <w:sz w:val="18"/>
                    <w:szCs w:val="18"/>
                  </w:rPr>
                  <w:t>-</w:t>
                </w:r>
                <w:r w:rsidR="007E7160">
                  <w:rPr>
                    <w:rFonts w:ascii="Century Gothic" w:hAnsi="Century Gothic"/>
                    <w:bCs/>
                    <w:sz w:val="18"/>
                    <w:szCs w:val="18"/>
                  </w:rPr>
                  <w:t>449</w:t>
                </w:r>
              </w:p>
            </w:tc>
            <w:tc>
              <w:tcPr>
                <w:tcW w:w="4804" w:type="dxa"/>
                <w:vAlign w:val="center"/>
              </w:tcPr>
              <w:p w14:paraId="6E8351F0" w14:textId="2976B8E3" w:rsidR="008C1D72" w:rsidRPr="00672E9B" w:rsidRDefault="008C1D72" w:rsidP="00AC7ACC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jc w:val="center"/>
                  <w:rPr>
                    <w:rFonts w:ascii="Century Gothic" w:hAnsi="Century Gothic"/>
                    <w:bCs/>
                    <w:sz w:val="16"/>
                    <w:szCs w:val="16"/>
                  </w:rPr>
                </w:pPr>
              </w:p>
            </w:tc>
          </w:tr>
          <w:tr w:rsidR="00260CC8" w14:paraId="6FE01E35" w14:textId="77777777" w:rsidTr="000A4A2D">
            <w:trPr>
              <w:trHeight w:val="283"/>
            </w:trPr>
            <w:tc>
              <w:tcPr>
                <w:tcW w:w="8243" w:type="dxa"/>
                <w:gridSpan w:val="2"/>
                <w:vAlign w:val="center"/>
              </w:tcPr>
              <w:p w14:paraId="49522848" w14:textId="3508E2AB" w:rsidR="00260CC8" w:rsidRPr="00672E9B" w:rsidRDefault="005055DC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</w:pPr>
                <w:r w:rsidRPr="005055DC">
                  <w:rPr>
                    <w:rFonts w:ascii="Century Gothic" w:hAnsi="Century Gothic"/>
                    <w:bCs/>
                    <w:sz w:val="18"/>
                    <w:szCs w:val="18"/>
                  </w:rPr>
                  <w:t>Liefervorschrift Anlieferzustand &amp; Sauberkeit</w:t>
                </w:r>
              </w:p>
            </w:tc>
          </w:tr>
          <w:tr w:rsidR="00260CC8" w14:paraId="00466A04" w14:textId="77777777" w:rsidTr="000A4A2D">
            <w:trPr>
              <w:trHeight w:val="283"/>
            </w:trPr>
            <w:tc>
              <w:tcPr>
                <w:tcW w:w="8243" w:type="dxa"/>
                <w:gridSpan w:val="2"/>
                <w:vAlign w:val="center"/>
              </w:tcPr>
              <w:p w14:paraId="38F73F5B" w14:textId="6C90B989" w:rsidR="00260CC8" w:rsidRPr="00672E9B" w:rsidRDefault="00260CC8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6"/>
                    <w:szCs w:val="16"/>
                  </w:rPr>
                </w:pPr>
                <w:r w:rsidRPr="00313353">
                  <w:rPr>
                    <w:rFonts w:ascii="Century Gothic" w:hAnsi="Century Gothic"/>
                    <w:bCs/>
                    <w:sz w:val="18"/>
                    <w:szCs w:val="18"/>
                  </w:rPr>
                  <w:t>Geltungsbereich: QM</w:t>
                </w:r>
              </w:p>
            </w:tc>
          </w:tr>
          <w:tr w:rsidR="00270A60" w14:paraId="28869D37" w14:textId="77777777" w:rsidTr="000A4A2D">
            <w:trPr>
              <w:trHeight w:val="283"/>
            </w:trPr>
            <w:tc>
              <w:tcPr>
                <w:tcW w:w="3439" w:type="dxa"/>
                <w:vAlign w:val="center"/>
              </w:tcPr>
              <w:p w14:paraId="451DBC52" w14:textId="7EFD37A2" w:rsidR="00270A60" w:rsidRPr="001B5B9D" w:rsidRDefault="001B5B9D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8"/>
                    <w:szCs w:val="18"/>
                  </w:rPr>
                </w:pPr>
                <w:r w:rsidRPr="001B5B9D">
                  <w:rPr>
                    <w:rFonts w:ascii="Century Gothic" w:hAnsi="Century Gothic"/>
                    <w:bCs/>
                    <w:sz w:val="18"/>
                    <w:szCs w:val="18"/>
                  </w:rPr>
                  <w:t>Revision 00</w:t>
                </w:r>
                <w:r w:rsidR="007E7160">
                  <w:rPr>
                    <w:rFonts w:ascii="Century Gothic" w:hAnsi="Century Gothic"/>
                    <w:bCs/>
                    <w:sz w:val="18"/>
                    <w:szCs w:val="18"/>
                  </w:rPr>
                  <w:t>/2602</w:t>
                </w:r>
              </w:p>
            </w:tc>
            <w:tc>
              <w:tcPr>
                <w:tcW w:w="4804" w:type="dxa"/>
                <w:vAlign w:val="center"/>
              </w:tcPr>
              <w:p w14:paraId="20CE61B2" w14:textId="77777777" w:rsidR="00270A60" w:rsidRPr="001B5B9D" w:rsidRDefault="00270A60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8"/>
                    <w:szCs w:val="18"/>
                  </w:rPr>
                </w:pPr>
              </w:p>
            </w:tc>
          </w:tr>
        </w:tbl>
        <w:p w14:paraId="285DDAC5" w14:textId="77777777" w:rsidR="008C1D72" w:rsidRPr="00570742" w:rsidRDefault="008C1D72" w:rsidP="008C1D72">
          <w:pPr>
            <w:pStyle w:val="Kopfzeile"/>
            <w:tabs>
              <w:tab w:val="clear" w:pos="4536"/>
              <w:tab w:val="left" w:pos="1586"/>
              <w:tab w:val="left" w:pos="1634"/>
              <w:tab w:val="left" w:pos="1926"/>
            </w:tabs>
            <w:rPr>
              <w:rFonts w:ascii="Century Gothic" w:hAnsi="Century Gothic"/>
              <w:bCs/>
              <w:sz w:val="4"/>
              <w:szCs w:val="4"/>
            </w:rPr>
          </w:pPr>
        </w:p>
      </w:tc>
      <w:tc>
        <w:tcPr>
          <w:tcW w:w="2041" w:type="dxa"/>
          <w:vAlign w:val="center"/>
        </w:tcPr>
        <w:p w14:paraId="339E7DB4" w14:textId="77777777" w:rsidR="008C1D72" w:rsidRPr="00F96D73" w:rsidRDefault="008C1D72" w:rsidP="008C1D72">
          <w:pPr>
            <w:pStyle w:val="Kopfzeile"/>
            <w:jc w:val="center"/>
            <w:rPr>
              <w:color w:val="467886" w:themeColor="hyperlink"/>
              <w:sz w:val="10"/>
              <w:szCs w:val="10"/>
              <w:u w:val="single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E33BCBD" wp14:editId="1346A9F8">
                <wp:simplePos x="0" y="0"/>
                <wp:positionH relativeFrom="column">
                  <wp:posOffset>24130</wp:posOffset>
                </wp:positionH>
                <wp:positionV relativeFrom="paragraph">
                  <wp:posOffset>46355</wp:posOffset>
                </wp:positionV>
                <wp:extent cx="1122680" cy="438785"/>
                <wp:effectExtent l="0" t="0" r="0" b="0"/>
                <wp:wrapThrough wrapText="bothSides">
                  <wp:wrapPolygon edited="0">
                    <wp:start x="733" y="938"/>
                    <wp:lineTo x="733" y="19693"/>
                    <wp:lineTo x="20525" y="19693"/>
                    <wp:lineTo x="20525" y="938"/>
                    <wp:lineTo x="733" y="938"/>
                  </wp:wrapPolygon>
                </wp:wrapThrough>
                <wp:docPr id="817745878" name="Grafik 1" descr="Ein Bild, das Schrift, Grafiken, Logo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9552124" name="Grafik 1" descr="Ein Bild, das Schrift, Grafiken, Logo, Screensho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B5B9D" w:rsidRPr="002921CB" w14:paraId="5C48C17D" w14:textId="77777777" w:rsidTr="00570742">
      <w:trPr>
        <w:trHeight w:hRule="exact" w:val="422"/>
      </w:trPr>
      <w:tc>
        <w:tcPr>
          <w:tcW w:w="8391" w:type="dxa"/>
          <w:vMerge/>
          <w:vAlign w:val="center"/>
        </w:tcPr>
        <w:p w14:paraId="2B179D75" w14:textId="77777777" w:rsidR="008C1D72" w:rsidRDefault="008C1D72" w:rsidP="008C1D72">
          <w:pPr>
            <w:pStyle w:val="Kopfzeile"/>
            <w:jc w:val="center"/>
            <w:rPr>
              <w:b/>
              <w:sz w:val="28"/>
              <w:szCs w:val="28"/>
            </w:rPr>
          </w:pPr>
        </w:p>
      </w:tc>
      <w:tc>
        <w:tcPr>
          <w:tcW w:w="2041" w:type="dxa"/>
          <w:vAlign w:val="bottom"/>
        </w:tcPr>
        <w:p w14:paraId="44005850" w14:textId="77777777" w:rsidR="008C1D72" w:rsidRDefault="008C1D72" w:rsidP="00270A60">
          <w:pPr>
            <w:pStyle w:val="Kopfzeile"/>
            <w:ind w:right="-107"/>
            <w:jc w:val="center"/>
            <w:rPr>
              <w:noProof/>
              <w:lang w:eastAsia="de-AT"/>
            </w:rPr>
          </w:pPr>
        </w:p>
      </w:tc>
    </w:tr>
  </w:tbl>
  <w:p w14:paraId="0486F38A" w14:textId="77777777" w:rsidR="008C1D72" w:rsidRDefault="008C1D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903D" w14:textId="77777777" w:rsidR="005D61BF" w:rsidRDefault="005D61B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3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91"/>
      <w:gridCol w:w="2041"/>
    </w:tblGrid>
    <w:tr w:rsidR="007D1645" w:rsidRPr="002921CB" w14:paraId="694EC296" w14:textId="77777777" w:rsidTr="00570742">
      <w:trPr>
        <w:trHeight w:val="563"/>
      </w:trPr>
      <w:tc>
        <w:tcPr>
          <w:tcW w:w="8391" w:type="dxa"/>
          <w:vMerge w:val="restart"/>
        </w:tcPr>
        <w:p w14:paraId="422F48DD" w14:textId="77777777" w:rsidR="007D1645" w:rsidRDefault="007D1645" w:rsidP="008C1D72">
          <w:pPr>
            <w:pStyle w:val="Kopfzeile"/>
            <w:tabs>
              <w:tab w:val="clear" w:pos="4536"/>
              <w:tab w:val="left" w:pos="1586"/>
              <w:tab w:val="left" w:pos="1634"/>
              <w:tab w:val="left" w:pos="1926"/>
            </w:tabs>
            <w:rPr>
              <w:rFonts w:ascii="Century Gothic" w:hAnsi="Century Gothic"/>
              <w:bCs/>
              <w:sz w:val="12"/>
              <w:szCs w:val="12"/>
            </w:rPr>
          </w:pPr>
        </w:p>
        <w:tbl>
          <w:tblPr>
            <w:tblStyle w:val="Tabellenraster"/>
            <w:tblW w:w="82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39"/>
            <w:gridCol w:w="4804"/>
          </w:tblGrid>
          <w:tr w:rsidR="007D1645" w14:paraId="2B09D485" w14:textId="77777777" w:rsidTr="000A4A2D">
            <w:trPr>
              <w:trHeight w:val="283"/>
            </w:trPr>
            <w:tc>
              <w:tcPr>
                <w:tcW w:w="3439" w:type="dxa"/>
                <w:vAlign w:val="center"/>
              </w:tcPr>
              <w:p w14:paraId="2B0B27FE" w14:textId="2F62D9ED" w:rsidR="007D1645" w:rsidRPr="00313353" w:rsidRDefault="007D1645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8"/>
                    <w:szCs w:val="18"/>
                  </w:rPr>
                </w:pPr>
                <w:r w:rsidRPr="00313353">
                  <w:rPr>
                    <w:rFonts w:ascii="Century Gothic" w:hAnsi="Century Gothic"/>
                    <w:bCs/>
                    <w:sz w:val="18"/>
                    <w:szCs w:val="18"/>
                  </w:rPr>
                  <w:t>SM</w:t>
                </w:r>
                <w:r w:rsidR="005D61BF">
                  <w:rPr>
                    <w:rFonts w:ascii="Century Gothic" w:hAnsi="Century Gothic"/>
                    <w:bCs/>
                    <w:sz w:val="18"/>
                    <w:szCs w:val="18"/>
                  </w:rPr>
                  <w:t>R</w:t>
                </w:r>
                <w:r w:rsidRPr="00313353">
                  <w:rPr>
                    <w:rFonts w:ascii="Century Gothic" w:hAnsi="Century Gothic"/>
                    <w:bCs/>
                    <w:sz w:val="18"/>
                    <w:szCs w:val="18"/>
                  </w:rPr>
                  <w:t>-</w:t>
                </w:r>
                <w:r>
                  <w:rPr>
                    <w:rFonts w:ascii="Century Gothic" w:hAnsi="Century Gothic"/>
                    <w:bCs/>
                    <w:sz w:val="18"/>
                    <w:szCs w:val="18"/>
                  </w:rPr>
                  <w:t>449</w:t>
                </w:r>
              </w:p>
            </w:tc>
            <w:tc>
              <w:tcPr>
                <w:tcW w:w="4804" w:type="dxa"/>
                <w:vAlign w:val="center"/>
              </w:tcPr>
              <w:p w14:paraId="660A0FB7" w14:textId="77777777" w:rsidR="007D1645" w:rsidRPr="00672E9B" w:rsidRDefault="007D1645" w:rsidP="00AC7ACC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jc w:val="center"/>
                  <w:rPr>
                    <w:rFonts w:ascii="Century Gothic" w:hAnsi="Century Gothic"/>
                    <w:bCs/>
                    <w:sz w:val="16"/>
                    <w:szCs w:val="16"/>
                  </w:rPr>
                </w:pPr>
              </w:p>
            </w:tc>
          </w:tr>
          <w:tr w:rsidR="007D1645" w:rsidRPr="00662643" w14:paraId="0A4EBE92" w14:textId="77777777" w:rsidTr="000A4A2D">
            <w:trPr>
              <w:trHeight w:val="283"/>
            </w:trPr>
            <w:tc>
              <w:tcPr>
                <w:tcW w:w="8243" w:type="dxa"/>
                <w:gridSpan w:val="2"/>
                <w:vAlign w:val="center"/>
              </w:tcPr>
              <w:p w14:paraId="332AC184" w14:textId="7BC031CC" w:rsidR="007D1645" w:rsidRPr="007D1645" w:rsidRDefault="007D1645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lang w:val="en-US"/>
                  </w:rPr>
                </w:pPr>
                <w:r w:rsidRPr="00CB6910">
                  <w:rPr>
                    <w:rFonts w:ascii="Century Gothic" w:hAnsi="Century Gothic"/>
                    <w:bCs/>
                    <w:sz w:val="18"/>
                    <w:szCs w:val="18"/>
                    <w:lang w:val="en-US"/>
                  </w:rPr>
                  <w:t>Delivery specifications Delivery condition &amp; cleanliness</w:t>
                </w:r>
              </w:p>
            </w:tc>
          </w:tr>
          <w:tr w:rsidR="007D1645" w14:paraId="1625FB97" w14:textId="77777777" w:rsidTr="000A4A2D">
            <w:trPr>
              <w:trHeight w:val="283"/>
            </w:trPr>
            <w:tc>
              <w:tcPr>
                <w:tcW w:w="8243" w:type="dxa"/>
                <w:gridSpan w:val="2"/>
                <w:vAlign w:val="center"/>
              </w:tcPr>
              <w:p w14:paraId="09F1A3CF" w14:textId="3256595F" w:rsidR="007D1645" w:rsidRPr="00672E9B" w:rsidRDefault="007D1645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Cs/>
                    <w:sz w:val="18"/>
                    <w:szCs w:val="18"/>
                  </w:rPr>
                  <w:t>Scope</w:t>
                </w:r>
                <w:r w:rsidRPr="00313353">
                  <w:rPr>
                    <w:rFonts w:ascii="Century Gothic" w:hAnsi="Century Gothic"/>
                    <w:bCs/>
                    <w:sz w:val="18"/>
                    <w:szCs w:val="18"/>
                  </w:rPr>
                  <w:t>: QM</w:t>
                </w:r>
              </w:p>
            </w:tc>
          </w:tr>
          <w:tr w:rsidR="007D1645" w14:paraId="1C26E239" w14:textId="77777777" w:rsidTr="000A4A2D">
            <w:trPr>
              <w:trHeight w:val="283"/>
            </w:trPr>
            <w:tc>
              <w:tcPr>
                <w:tcW w:w="3439" w:type="dxa"/>
                <w:vAlign w:val="center"/>
              </w:tcPr>
              <w:p w14:paraId="4A319CF5" w14:textId="77777777" w:rsidR="007D1645" w:rsidRPr="001B5B9D" w:rsidRDefault="007D1645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8"/>
                    <w:szCs w:val="18"/>
                  </w:rPr>
                </w:pPr>
                <w:r w:rsidRPr="001B5B9D">
                  <w:rPr>
                    <w:rFonts w:ascii="Century Gothic" w:hAnsi="Century Gothic"/>
                    <w:bCs/>
                    <w:sz w:val="18"/>
                    <w:szCs w:val="18"/>
                  </w:rPr>
                  <w:t>Revision 00</w:t>
                </w:r>
                <w:r>
                  <w:rPr>
                    <w:rFonts w:ascii="Century Gothic" w:hAnsi="Century Gothic"/>
                    <w:bCs/>
                    <w:sz w:val="18"/>
                    <w:szCs w:val="18"/>
                  </w:rPr>
                  <w:t>/2602</w:t>
                </w:r>
              </w:p>
            </w:tc>
            <w:tc>
              <w:tcPr>
                <w:tcW w:w="4804" w:type="dxa"/>
                <w:vAlign w:val="center"/>
              </w:tcPr>
              <w:p w14:paraId="6C5F3952" w14:textId="77777777" w:rsidR="007D1645" w:rsidRPr="001B5B9D" w:rsidRDefault="007D1645" w:rsidP="008C1D72">
                <w:pPr>
                  <w:pStyle w:val="Kopfzeile"/>
                  <w:tabs>
                    <w:tab w:val="clear" w:pos="4536"/>
                    <w:tab w:val="left" w:pos="1586"/>
                    <w:tab w:val="left" w:pos="1634"/>
                    <w:tab w:val="left" w:pos="1926"/>
                  </w:tabs>
                  <w:rPr>
                    <w:rFonts w:ascii="Century Gothic" w:hAnsi="Century Gothic"/>
                    <w:bCs/>
                    <w:sz w:val="18"/>
                    <w:szCs w:val="18"/>
                  </w:rPr>
                </w:pPr>
              </w:p>
            </w:tc>
          </w:tr>
        </w:tbl>
        <w:p w14:paraId="1AC159AF" w14:textId="77777777" w:rsidR="007D1645" w:rsidRPr="00570742" w:rsidRDefault="007D1645" w:rsidP="008C1D72">
          <w:pPr>
            <w:pStyle w:val="Kopfzeile"/>
            <w:tabs>
              <w:tab w:val="clear" w:pos="4536"/>
              <w:tab w:val="left" w:pos="1586"/>
              <w:tab w:val="left" w:pos="1634"/>
              <w:tab w:val="left" w:pos="1926"/>
            </w:tabs>
            <w:rPr>
              <w:rFonts w:ascii="Century Gothic" w:hAnsi="Century Gothic"/>
              <w:bCs/>
              <w:sz w:val="4"/>
              <w:szCs w:val="4"/>
            </w:rPr>
          </w:pPr>
        </w:p>
      </w:tc>
      <w:tc>
        <w:tcPr>
          <w:tcW w:w="2041" w:type="dxa"/>
          <w:vAlign w:val="center"/>
        </w:tcPr>
        <w:p w14:paraId="069A522A" w14:textId="77777777" w:rsidR="007D1645" w:rsidRPr="00F96D73" w:rsidRDefault="007D1645" w:rsidP="008C1D72">
          <w:pPr>
            <w:pStyle w:val="Kopfzeile"/>
            <w:jc w:val="center"/>
            <w:rPr>
              <w:color w:val="467886" w:themeColor="hyperlink"/>
              <w:sz w:val="10"/>
              <w:szCs w:val="10"/>
              <w:u w:val="single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BC6CB9" wp14:editId="24A3D5F1">
                <wp:simplePos x="0" y="0"/>
                <wp:positionH relativeFrom="column">
                  <wp:posOffset>24130</wp:posOffset>
                </wp:positionH>
                <wp:positionV relativeFrom="paragraph">
                  <wp:posOffset>46355</wp:posOffset>
                </wp:positionV>
                <wp:extent cx="1122680" cy="438785"/>
                <wp:effectExtent l="0" t="0" r="0" b="0"/>
                <wp:wrapThrough wrapText="bothSides">
                  <wp:wrapPolygon edited="0">
                    <wp:start x="733" y="938"/>
                    <wp:lineTo x="733" y="19693"/>
                    <wp:lineTo x="20525" y="19693"/>
                    <wp:lineTo x="20525" y="938"/>
                    <wp:lineTo x="733" y="938"/>
                  </wp:wrapPolygon>
                </wp:wrapThrough>
                <wp:docPr id="236475740" name="Grafik 1" descr="Ein Bild, das Schrift, Grafiken, Logo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9552124" name="Grafik 1" descr="Ein Bild, das Schrift, Grafiken, Logo, Screensho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D1645" w:rsidRPr="002921CB" w14:paraId="260C56A6" w14:textId="77777777" w:rsidTr="00570742">
      <w:trPr>
        <w:trHeight w:hRule="exact" w:val="422"/>
      </w:trPr>
      <w:tc>
        <w:tcPr>
          <w:tcW w:w="8391" w:type="dxa"/>
          <w:vMerge/>
          <w:vAlign w:val="center"/>
        </w:tcPr>
        <w:p w14:paraId="0D8BF094" w14:textId="77777777" w:rsidR="007D1645" w:rsidRDefault="007D1645" w:rsidP="008C1D72">
          <w:pPr>
            <w:pStyle w:val="Kopfzeile"/>
            <w:jc w:val="center"/>
            <w:rPr>
              <w:b/>
              <w:sz w:val="28"/>
              <w:szCs w:val="28"/>
            </w:rPr>
          </w:pPr>
        </w:p>
      </w:tc>
      <w:tc>
        <w:tcPr>
          <w:tcW w:w="2041" w:type="dxa"/>
          <w:vAlign w:val="bottom"/>
        </w:tcPr>
        <w:p w14:paraId="4C990973" w14:textId="77777777" w:rsidR="007D1645" w:rsidRDefault="007D1645" w:rsidP="00270A60">
          <w:pPr>
            <w:pStyle w:val="Kopfzeile"/>
            <w:ind w:right="-107"/>
            <w:jc w:val="center"/>
            <w:rPr>
              <w:noProof/>
              <w:lang w:eastAsia="de-AT"/>
            </w:rPr>
          </w:pPr>
        </w:p>
      </w:tc>
    </w:tr>
  </w:tbl>
  <w:p w14:paraId="4264D7ED" w14:textId="77777777" w:rsidR="007D1645" w:rsidRDefault="007D16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81E"/>
    <w:multiLevelType w:val="multilevel"/>
    <w:tmpl w:val="B672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1E48"/>
    <w:multiLevelType w:val="multilevel"/>
    <w:tmpl w:val="6966020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3D627F"/>
    <w:multiLevelType w:val="multilevel"/>
    <w:tmpl w:val="D45C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51DDE"/>
    <w:multiLevelType w:val="multilevel"/>
    <w:tmpl w:val="255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B3956"/>
    <w:multiLevelType w:val="multilevel"/>
    <w:tmpl w:val="C5B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3F54"/>
    <w:multiLevelType w:val="multilevel"/>
    <w:tmpl w:val="979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66B07"/>
    <w:multiLevelType w:val="multilevel"/>
    <w:tmpl w:val="6FB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E6AF1"/>
    <w:multiLevelType w:val="multilevel"/>
    <w:tmpl w:val="CB5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42834"/>
    <w:multiLevelType w:val="multilevel"/>
    <w:tmpl w:val="224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A616C"/>
    <w:multiLevelType w:val="multilevel"/>
    <w:tmpl w:val="601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74FC5"/>
    <w:multiLevelType w:val="multilevel"/>
    <w:tmpl w:val="FD26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D706F"/>
    <w:multiLevelType w:val="multilevel"/>
    <w:tmpl w:val="3B0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9778A"/>
    <w:multiLevelType w:val="multilevel"/>
    <w:tmpl w:val="3B0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E5151"/>
    <w:multiLevelType w:val="multilevel"/>
    <w:tmpl w:val="8FD2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048857">
    <w:abstractNumId w:val="1"/>
  </w:num>
  <w:num w:numId="2" w16cid:durableId="1812286599">
    <w:abstractNumId w:val="5"/>
  </w:num>
  <w:num w:numId="3" w16cid:durableId="349601665">
    <w:abstractNumId w:val="0"/>
  </w:num>
  <w:num w:numId="4" w16cid:durableId="1219513013">
    <w:abstractNumId w:val="8"/>
  </w:num>
  <w:num w:numId="5" w16cid:durableId="513081583">
    <w:abstractNumId w:val="10"/>
  </w:num>
  <w:num w:numId="6" w16cid:durableId="1578709978">
    <w:abstractNumId w:val="2"/>
  </w:num>
  <w:num w:numId="7" w16cid:durableId="2136636347">
    <w:abstractNumId w:val="12"/>
  </w:num>
  <w:num w:numId="8" w16cid:durableId="1618754876">
    <w:abstractNumId w:val="11"/>
  </w:num>
  <w:num w:numId="9" w16cid:durableId="1715040957">
    <w:abstractNumId w:val="13"/>
  </w:num>
  <w:num w:numId="10" w16cid:durableId="853962319">
    <w:abstractNumId w:val="7"/>
  </w:num>
  <w:num w:numId="11" w16cid:durableId="1290698582">
    <w:abstractNumId w:val="6"/>
  </w:num>
  <w:num w:numId="12" w16cid:durableId="1198617198">
    <w:abstractNumId w:val="9"/>
  </w:num>
  <w:num w:numId="13" w16cid:durableId="269892737">
    <w:abstractNumId w:val="4"/>
  </w:num>
  <w:num w:numId="14" w16cid:durableId="900140064">
    <w:abstractNumId w:val="3"/>
  </w:num>
  <w:num w:numId="15" w16cid:durableId="95081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72"/>
    <w:rsid w:val="00014C0C"/>
    <w:rsid w:val="00030B0F"/>
    <w:rsid w:val="000418B5"/>
    <w:rsid w:val="00081A3D"/>
    <w:rsid w:val="000A0A36"/>
    <w:rsid w:val="000A4A2D"/>
    <w:rsid w:val="000A6E6A"/>
    <w:rsid w:val="000B1D2A"/>
    <w:rsid w:val="000B3330"/>
    <w:rsid w:val="000C06A4"/>
    <w:rsid w:val="000E1490"/>
    <w:rsid w:val="00110095"/>
    <w:rsid w:val="00142E92"/>
    <w:rsid w:val="00156FB6"/>
    <w:rsid w:val="00157A30"/>
    <w:rsid w:val="001B5B9D"/>
    <w:rsid w:val="001C3D7B"/>
    <w:rsid w:val="001C6B76"/>
    <w:rsid w:val="001F0731"/>
    <w:rsid w:val="00222C47"/>
    <w:rsid w:val="00226F4A"/>
    <w:rsid w:val="00227B80"/>
    <w:rsid w:val="00260CC8"/>
    <w:rsid w:val="00270A60"/>
    <w:rsid w:val="00282297"/>
    <w:rsid w:val="002C3CA0"/>
    <w:rsid w:val="002C533A"/>
    <w:rsid w:val="002D3071"/>
    <w:rsid w:val="00300F4C"/>
    <w:rsid w:val="00302558"/>
    <w:rsid w:val="00313353"/>
    <w:rsid w:val="00375355"/>
    <w:rsid w:val="00386E30"/>
    <w:rsid w:val="003918E6"/>
    <w:rsid w:val="003D7F86"/>
    <w:rsid w:val="003F34AA"/>
    <w:rsid w:val="003F373E"/>
    <w:rsid w:val="003F6286"/>
    <w:rsid w:val="004130F1"/>
    <w:rsid w:val="00415089"/>
    <w:rsid w:val="004212A7"/>
    <w:rsid w:val="004A5062"/>
    <w:rsid w:val="004A6423"/>
    <w:rsid w:val="004B0BA5"/>
    <w:rsid w:val="004B6AAA"/>
    <w:rsid w:val="004C6AA1"/>
    <w:rsid w:val="004D1A49"/>
    <w:rsid w:val="004D1E9C"/>
    <w:rsid w:val="005055DC"/>
    <w:rsid w:val="00553FA7"/>
    <w:rsid w:val="00570742"/>
    <w:rsid w:val="00570BF1"/>
    <w:rsid w:val="00573910"/>
    <w:rsid w:val="00594226"/>
    <w:rsid w:val="00595305"/>
    <w:rsid w:val="005D0F84"/>
    <w:rsid w:val="005D4C87"/>
    <w:rsid w:val="005D61BF"/>
    <w:rsid w:val="005D75BC"/>
    <w:rsid w:val="00616B83"/>
    <w:rsid w:val="00630194"/>
    <w:rsid w:val="00631F82"/>
    <w:rsid w:val="00636F82"/>
    <w:rsid w:val="00644758"/>
    <w:rsid w:val="006466D2"/>
    <w:rsid w:val="00655E08"/>
    <w:rsid w:val="00660305"/>
    <w:rsid w:val="0066087E"/>
    <w:rsid w:val="00662643"/>
    <w:rsid w:val="00662B7A"/>
    <w:rsid w:val="0066512F"/>
    <w:rsid w:val="00666AEB"/>
    <w:rsid w:val="00682ADA"/>
    <w:rsid w:val="006B1B52"/>
    <w:rsid w:val="006B258B"/>
    <w:rsid w:val="006C6074"/>
    <w:rsid w:val="006C6697"/>
    <w:rsid w:val="006E01C9"/>
    <w:rsid w:val="0070577E"/>
    <w:rsid w:val="00710C32"/>
    <w:rsid w:val="0071153D"/>
    <w:rsid w:val="0072797E"/>
    <w:rsid w:val="0073162F"/>
    <w:rsid w:val="00741061"/>
    <w:rsid w:val="00741309"/>
    <w:rsid w:val="0077777F"/>
    <w:rsid w:val="00794A29"/>
    <w:rsid w:val="00797A2D"/>
    <w:rsid w:val="007A1E18"/>
    <w:rsid w:val="007A5864"/>
    <w:rsid w:val="007C54E3"/>
    <w:rsid w:val="007D1645"/>
    <w:rsid w:val="007E7160"/>
    <w:rsid w:val="00857528"/>
    <w:rsid w:val="00862825"/>
    <w:rsid w:val="00883CD4"/>
    <w:rsid w:val="00891726"/>
    <w:rsid w:val="008A580B"/>
    <w:rsid w:val="008A7530"/>
    <w:rsid w:val="008C0C51"/>
    <w:rsid w:val="008C163F"/>
    <w:rsid w:val="008C1D72"/>
    <w:rsid w:val="008E3761"/>
    <w:rsid w:val="009147CB"/>
    <w:rsid w:val="00944848"/>
    <w:rsid w:val="009454FC"/>
    <w:rsid w:val="00960409"/>
    <w:rsid w:val="009934F9"/>
    <w:rsid w:val="0099594F"/>
    <w:rsid w:val="009A341B"/>
    <w:rsid w:val="009B0071"/>
    <w:rsid w:val="009F5263"/>
    <w:rsid w:val="00A04595"/>
    <w:rsid w:val="00A061FF"/>
    <w:rsid w:val="00A133F4"/>
    <w:rsid w:val="00A214DD"/>
    <w:rsid w:val="00A352D3"/>
    <w:rsid w:val="00A87361"/>
    <w:rsid w:val="00A97B57"/>
    <w:rsid w:val="00AB7660"/>
    <w:rsid w:val="00AB7EED"/>
    <w:rsid w:val="00AC4750"/>
    <w:rsid w:val="00AC7ACC"/>
    <w:rsid w:val="00AF072A"/>
    <w:rsid w:val="00B07B52"/>
    <w:rsid w:val="00B1072C"/>
    <w:rsid w:val="00B116F5"/>
    <w:rsid w:val="00B20280"/>
    <w:rsid w:val="00B21164"/>
    <w:rsid w:val="00B7354F"/>
    <w:rsid w:val="00B76356"/>
    <w:rsid w:val="00BA5372"/>
    <w:rsid w:val="00BA6336"/>
    <w:rsid w:val="00BC6518"/>
    <w:rsid w:val="00C11CFD"/>
    <w:rsid w:val="00C36C3D"/>
    <w:rsid w:val="00C5718A"/>
    <w:rsid w:val="00C65065"/>
    <w:rsid w:val="00C65A72"/>
    <w:rsid w:val="00C73E25"/>
    <w:rsid w:val="00C83A1C"/>
    <w:rsid w:val="00C8555E"/>
    <w:rsid w:val="00C92756"/>
    <w:rsid w:val="00CA2783"/>
    <w:rsid w:val="00CB10A9"/>
    <w:rsid w:val="00CB4F9B"/>
    <w:rsid w:val="00CB4FD8"/>
    <w:rsid w:val="00CD2A37"/>
    <w:rsid w:val="00CD3192"/>
    <w:rsid w:val="00CD578E"/>
    <w:rsid w:val="00CE65E9"/>
    <w:rsid w:val="00CE7292"/>
    <w:rsid w:val="00D136A5"/>
    <w:rsid w:val="00D83F00"/>
    <w:rsid w:val="00D87CE7"/>
    <w:rsid w:val="00DB10B9"/>
    <w:rsid w:val="00DD19DB"/>
    <w:rsid w:val="00DD292E"/>
    <w:rsid w:val="00DE61E2"/>
    <w:rsid w:val="00E10F9D"/>
    <w:rsid w:val="00E21403"/>
    <w:rsid w:val="00E23716"/>
    <w:rsid w:val="00E23F56"/>
    <w:rsid w:val="00E450AB"/>
    <w:rsid w:val="00E5226D"/>
    <w:rsid w:val="00E5711D"/>
    <w:rsid w:val="00E8276C"/>
    <w:rsid w:val="00E87888"/>
    <w:rsid w:val="00E947FB"/>
    <w:rsid w:val="00EA1420"/>
    <w:rsid w:val="00EA350B"/>
    <w:rsid w:val="00F0310B"/>
    <w:rsid w:val="00F03DD7"/>
    <w:rsid w:val="00F1289C"/>
    <w:rsid w:val="00F24B6A"/>
    <w:rsid w:val="00F34252"/>
    <w:rsid w:val="00F40CCD"/>
    <w:rsid w:val="00F43462"/>
    <w:rsid w:val="00F65062"/>
    <w:rsid w:val="00F72558"/>
    <w:rsid w:val="00F76021"/>
    <w:rsid w:val="00F76505"/>
    <w:rsid w:val="00F97602"/>
    <w:rsid w:val="00FA45B8"/>
    <w:rsid w:val="00FC066F"/>
    <w:rsid w:val="00FC4713"/>
    <w:rsid w:val="00FC5D87"/>
    <w:rsid w:val="00FC5EA7"/>
    <w:rsid w:val="00FD18C7"/>
    <w:rsid w:val="00FD347B"/>
    <w:rsid w:val="00FE7ABD"/>
    <w:rsid w:val="01E6F4E5"/>
    <w:rsid w:val="0896C93F"/>
    <w:rsid w:val="145F7A4C"/>
    <w:rsid w:val="1D994B99"/>
    <w:rsid w:val="291A534F"/>
    <w:rsid w:val="52EEAA96"/>
    <w:rsid w:val="701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457F0"/>
  <w15:chartTrackingRefBased/>
  <w15:docId w15:val="{9452F309-3242-46AE-A866-68DDB5D4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071"/>
    <w:pPr>
      <w:jc w:val="both"/>
    </w:pPr>
    <w:rPr>
      <w:kern w:val="0"/>
      <w:sz w:val="20"/>
      <w:szCs w:val="22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5305"/>
    <w:pPr>
      <w:keepNext/>
      <w:keepLines/>
      <w:numPr>
        <w:numId w:val="1"/>
      </w:numPr>
      <w:spacing w:before="120" w:after="80"/>
      <w:outlineLvl w:val="0"/>
    </w:pPr>
    <w:rPr>
      <w:rFonts w:eastAsiaTheme="majorEastAsia" w:cstheme="majorBidi"/>
      <w:b/>
      <w:kern w:val="2"/>
      <w:sz w:val="24"/>
      <w:szCs w:val="40"/>
      <w:lang w:val="de-DE"/>
      <w14:ligatures w14:val="standardContextual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595305"/>
    <w:pPr>
      <w:numPr>
        <w:ilvl w:val="1"/>
      </w:numPr>
      <w:outlineLvl w:val="1"/>
    </w:pPr>
    <w:rPr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1420"/>
    <w:pPr>
      <w:keepNext/>
      <w:keepLines/>
      <w:numPr>
        <w:ilvl w:val="2"/>
        <w:numId w:val="1"/>
      </w:numPr>
      <w:spacing w:before="160" w:after="80"/>
      <w:ind w:left="1428"/>
      <w:outlineLvl w:val="2"/>
    </w:pPr>
    <w:rPr>
      <w:rFonts w:eastAsiaTheme="majorEastAsia" w:cstheme="majorBidi"/>
      <w:kern w:val="2"/>
      <w:sz w:val="22"/>
      <w:szCs w:val="28"/>
      <w:u w:val="single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C1D72"/>
    <w:pPr>
      <w:keepNext/>
      <w:keepLines/>
      <w:numPr>
        <w:ilvl w:val="3"/>
        <w:numId w:val="1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8C1D72"/>
    <w:pPr>
      <w:keepNext/>
      <w:keepLines/>
      <w:numPr>
        <w:ilvl w:val="4"/>
        <w:numId w:val="1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C1D72"/>
    <w:pPr>
      <w:keepNext/>
      <w:keepLines/>
      <w:numPr>
        <w:ilvl w:val="5"/>
        <w:numId w:val="1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8C1D72"/>
    <w:pPr>
      <w:keepNext/>
      <w:keepLines/>
      <w:numPr>
        <w:ilvl w:val="6"/>
        <w:numId w:val="1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1D72"/>
    <w:pPr>
      <w:keepNext/>
      <w:keepLines/>
      <w:numPr>
        <w:ilvl w:val="7"/>
        <w:numId w:val="1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1D72"/>
    <w:pPr>
      <w:keepNext/>
      <w:keepLines/>
      <w:numPr>
        <w:ilvl w:val="8"/>
        <w:numId w:val="1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5305"/>
    <w:rPr>
      <w:rFonts w:eastAsiaTheme="majorEastAsia" w:cstheme="majorBidi"/>
      <w:b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5305"/>
    <w:rPr>
      <w:rFonts w:eastAsiaTheme="majorEastAsia" w:cstheme="majorBidi"/>
      <w:b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1420"/>
    <w:rPr>
      <w:rFonts w:eastAsiaTheme="majorEastAsia" w:cstheme="majorBidi"/>
      <w:sz w:val="22"/>
      <w:szCs w:val="28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1D72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0"/>
      <w:szCs w:val="22"/>
      <w:lang w:val="de-AT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C1D72"/>
    <w:rPr>
      <w:rFonts w:asciiTheme="minorHAnsi" w:eastAsiaTheme="majorEastAsia" w:hAnsiTheme="minorHAnsi" w:cstheme="majorBidi"/>
      <w:color w:val="0F4761" w:themeColor="accent1" w:themeShade="BF"/>
      <w:kern w:val="0"/>
      <w:sz w:val="20"/>
      <w:szCs w:val="22"/>
      <w:lang w:val="de-AT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C1D7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0"/>
      <w:szCs w:val="22"/>
      <w:lang w:val="de-AT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1D72"/>
    <w:rPr>
      <w:rFonts w:asciiTheme="minorHAnsi" w:eastAsiaTheme="majorEastAsia" w:hAnsiTheme="minorHAnsi" w:cstheme="majorBidi"/>
      <w:color w:val="595959" w:themeColor="text1" w:themeTint="A6"/>
      <w:kern w:val="0"/>
      <w:sz w:val="20"/>
      <w:szCs w:val="22"/>
      <w:lang w:val="de-AT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1D7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0"/>
      <w:szCs w:val="22"/>
      <w:lang w:val="de-AT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1D72"/>
    <w:rPr>
      <w:rFonts w:asciiTheme="minorHAnsi" w:eastAsiaTheme="majorEastAsia" w:hAnsiTheme="minorHAnsi" w:cstheme="majorBidi"/>
      <w:color w:val="272727" w:themeColor="text1" w:themeTint="D8"/>
      <w:kern w:val="0"/>
      <w:sz w:val="20"/>
      <w:szCs w:val="22"/>
      <w:lang w:val="de-AT"/>
      <w14:ligatures w14:val="none"/>
    </w:rPr>
  </w:style>
  <w:style w:type="paragraph" w:styleId="Titel">
    <w:name w:val="Title"/>
    <w:aliases w:val="Anhang"/>
    <w:basedOn w:val="Standard"/>
    <w:next w:val="Standard"/>
    <w:link w:val="TitelZchn"/>
    <w:uiPriority w:val="10"/>
    <w:qFormat/>
    <w:rsid w:val="00C65065"/>
    <w:pPr>
      <w:spacing w:after="80"/>
      <w:ind w:left="708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elZchn">
    <w:name w:val="Titel Zchn"/>
    <w:aliases w:val="Anhang Zchn"/>
    <w:basedOn w:val="Absatz-Standardschriftart"/>
    <w:link w:val="Titel"/>
    <w:uiPriority w:val="10"/>
    <w:rsid w:val="00C65065"/>
    <w:rPr>
      <w:rFonts w:eastAsiaTheme="majorEastAsia" w:cstheme="majorBidi"/>
      <w:b/>
      <w:spacing w:val="-10"/>
      <w:kern w:val="28"/>
      <w:sz w:val="20"/>
      <w:szCs w:val="56"/>
      <w:lang w:val="de-AT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1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1D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1D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1D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1D7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C1D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1D72"/>
  </w:style>
  <w:style w:type="paragraph" w:styleId="Fuzeile">
    <w:name w:val="footer"/>
    <w:basedOn w:val="Standard"/>
    <w:link w:val="FuzeileZchn"/>
    <w:uiPriority w:val="99"/>
    <w:unhideWhenUsed/>
    <w:rsid w:val="008C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1D72"/>
  </w:style>
  <w:style w:type="table" w:styleId="Tabellenraster">
    <w:name w:val="Table Grid"/>
    <w:basedOn w:val="NormaleTabelle"/>
    <w:uiPriority w:val="59"/>
    <w:rsid w:val="008C1D72"/>
    <w:rPr>
      <w:rFonts w:asciiTheme="minorHAnsi" w:hAnsiTheme="minorHAnsi"/>
      <w:kern w:val="0"/>
      <w:sz w:val="22"/>
      <w:szCs w:val="22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10F9D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E10F9D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10F9D"/>
    <w:pPr>
      <w:spacing w:after="100" w:line="259" w:lineRule="auto"/>
    </w:pPr>
    <w:rPr>
      <w:rFonts w:asciiTheme="minorHAnsi" w:eastAsiaTheme="minorEastAsia" w:hAnsiTheme="minorHAnsi" w:cs="Times New Roman"/>
      <w:sz w:val="22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E10F9D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10F9D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9934F9"/>
    <w:pPr>
      <w:jc w:val="both"/>
    </w:pPr>
    <w:rPr>
      <w:kern w:val="0"/>
      <w:sz w:val="20"/>
      <w:szCs w:val="22"/>
      <w:lang w:val="de-AT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763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06ADBD109BB6498E8E6A744ED0414B" ma:contentTypeVersion="38" ma:contentTypeDescription="Ein neues Dokument erstellen." ma:contentTypeScope="" ma:versionID="1c0e573b63ec254a7f9c0f344805ecf3">
  <xsd:schema xmlns:xsd="http://www.w3.org/2001/XMLSchema" xmlns:xs="http://www.w3.org/2001/XMLSchema" xmlns:p="http://schemas.microsoft.com/office/2006/metadata/properties" xmlns:ns2="d12e4545-7303-43cd-a88e-3bc55d65c498" xmlns:ns3="4a9c7c78-0b5d-4b35-8916-309710e0f8ae" xmlns:ns4="3e3f41ce-2bd8-4048-aadd-22b25b84d25e" targetNamespace="http://schemas.microsoft.com/office/2006/metadata/properties" ma:root="true" ma:fieldsID="a8cfdd7960ffed7dc54ce60456f97369" ns2:_="" ns3:_="" ns4:_="">
    <xsd:import namespace="d12e4545-7303-43cd-a88e-3bc55d65c498"/>
    <xsd:import namespace="4a9c7c78-0b5d-4b35-8916-309710e0f8ae"/>
    <xsd:import namespace="3e3f41ce-2bd8-4048-aadd-22b25b84d25e"/>
    <xsd:element name="properties">
      <xsd:complexType>
        <xsd:sequence>
          <xsd:element name="documentManagement">
            <xsd:complexType>
              <xsd:all>
                <xsd:element ref="ns2:hba30f0d71ab4e18b775f6f913558821" minOccurs="0"/>
                <xsd:element ref="ns3:TaxCatchAll" minOccurs="0"/>
                <xsd:element ref="ns2:od16bfb098424853a6d8162dd63cdff4" minOccurs="0"/>
                <xsd:element ref="ns2:pdb76675696741efab4f776c135b3719" minOccurs="0"/>
                <xsd:element ref="ns2:Verantwortlicher"/>
                <xsd:element ref="ns2:Formblattnummer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OfficeVorlage" minOccurs="0"/>
                <xsd:element ref="ns2:ProjektVorlage" minOccurs="0"/>
                <xsd:element ref="ns2:DAS" minOccurs="0"/>
                <xsd:element ref="ns2:SGUOrdner" minOccurs="0"/>
                <xsd:element ref="ns3:Revision" minOccurs="0"/>
                <xsd:element ref="ns3:Angebotsnummer" minOccurs="0"/>
                <xsd:element ref="ns3:Auftraggeber" minOccurs="0"/>
                <xsd:element ref="ns3:c4c15d6ba897438ea7fc4658f08479a6" minOccurs="0"/>
                <xsd:element ref="ns3:Projektname" minOccurs="0"/>
                <xsd:element ref="ns3:Bestellnummer" minOccurs="0"/>
                <xsd:element ref="ns3:Kommissionsnummer1" minOccurs="0"/>
                <xsd:element ref="ns3:Kundenlogo" minOccurs="0"/>
                <xsd:element ref="ns2:MediaServiceObjectDetectorVersions" minOccurs="0"/>
                <xsd:element ref="ns2:MediaServiceSearchProperties" minOccurs="0"/>
                <xsd:element ref="ns2:outdated" minOccurs="0"/>
                <xsd:element ref="ns2:SGU" minOccurs="0"/>
                <xsd:element ref="ns2:Prozessebene" minOccurs="0"/>
                <xsd:element ref="ns2:Organisationseinheit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e4545-7303-43cd-a88e-3bc55d65c498" elementFormDefault="qualified">
    <xsd:import namespace="http://schemas.microsoft.com/office/2006/documentManagement/types"/>
    <xsd:import namespace="http://schemas.microsoft.com/office/infopath/2007/PartnerControls"/>
    <xsd:element name="hba30f0d71ab4e18b775f6f913558821" ma:index="9" nillable="true" ma:taxonomy="true" ma:internalName="hba30f0d71ab4e18b775f6f913558821" ma:taxonomyFieldName="Gruppe" ma:displayName="Gruppe" ma:default="" ma:fieldId="{1ba30f0d-71ab-4e18-b775-f6f913558821}" ma:sspId="ce6ad84b-74ec-4876-8a60-38c5fd9ff850" ma:termSetId="13109fbb-4694-440c-b787-cbdb01fde9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16bfb098424853a6d8162dd63cdff4" ma:index="12" ma:taxonomy="true" ma:internalName="od16bfb098424853a6d8162dd63cdff4" ma:taxonomyFieldName="Sprache" ma:displayName="Sprache" ma:default="" ma:fieldId="{8d16bfb0-9842-4853-a6d8-162dd63cdff4}" ma:sspId="ce6ad84b-74ec-4876-8a60-38c5fd9ff850" ma:termSetId="0c8cb123-2b5c-488c-9565-bc4dda7495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76675696741efab4f776c135b3719" ma:index="14" nillable="true" ma:taxonomy="true" ma:internalName="pdb76675696741efab4f776c135b3719" ma:taxonomyFieldName="Bereich" ma:displayName="Bereich" ma:default="" ma:fieldId="{9db76675-6967-41ef-ab4f-776c135b3719}" ma:sspId="ce6ad84b-74ec-4876-8a60-38c5fd9ff850" ma:termSetId="bf628932-dcf8-4297-9485-9ebf9e80dd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antwortlicher" ma:index="15" ma:displayName="Verantwortlicher" ma:list="UserInfo" ma:SharePointGroup="0" ma:internalName="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blattnummer" ma:index="16" ma:displayName="Formblattnummer" ma:internalName="Formblattnummer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fficeVorlage" ma:index="23" nillable="true" ma:displayName="OfficeVorlage" ma:default="0" ma:description="Soll als Vorlage für Office gesynct werden" ma:format="Dropdown" ma:internalName="OfficeVorlage">
      <xsd:simpleType>
        <xsd:restriction base="dms:Boolean"/>
      </xsd:simpleType>
    </xsd:element>
    <xsd:element name="ProjektVorlage" ma:index="24" nillable="true" ma:displayName="ProjektVorlage" ma:default="0" ma:format="Dropdown" ma:internalName="ProjektVorlage">
      <xsd:simpleType>
        <xsd:restriction base="dms:Boolean"/>
      </xsd:simpleType>
    </xsd:element>
    <xsd:element name="DAS" ma:index="25" nillable="true" ma:displayName="DAS" ma:default="0" ma:format="Dropdown" ma:internalName="DAS">
      <xsd:simpleType>
        <xsd:restriction base="dms:Boolean"/>
      </xsd:simpleType>
    </xsd:element>
    <xsd:element name="SGUOrdner" ma:index="26" nillable="true" ma:displayName="Ablage Projektordner" ma:description="Hier wird ausgewählt, in welchem Unterordner der Projektordnerstruktur in den Projekträumen das Formblatt kopiert wird. Alter Spaltenname: SGU Ordner" ma:format="Dropdown" ma:list="6828d686-d1b5-4ca2-9744-f02e65753205" ma:internalName="SGUOrdner" ma:showField="Ordnername">
      <xsd:simpleType>
        <xsd:restriction base="dms:Lookup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utdated" ma:index="38" nillable="true" ma:displayName="outdated" ma:default="0" ma:description="Formblatt nicht mehr aktuell" ma:format="Dropdown" ma:internalName="outdated">
      <xsd:simpleType>
        <xsd:restriction base="dms:Boolean"/>
      </xsd:simpleType>
    </xsd:element>
    <xsd:element name="SGU" ma:index="39" nillable="true" ma:displayName="SGU" ma:format="Dropdown" ma:internalName="SGU">
      <xsd:simpleType>
        <xsd:restriction base="dms:Choice">
          <xsd:enumeration value="X"/>
        </xsd:restriction>
      </xsd:simpleType>
    </xsd:element>
    <xsd:element name="Prozessebene" ma:index="40" nillable="true" ma:displayName="Prozesskategorie" ma:format="Dropdown" ma:internalName="Prozessebene">
      <xsd:simpleType>
        <xsd:restriction base="dms:Choice">
          <xsd:enumeration value="Managementprozesse"/>
          <xsd:enumeration value="Wertschöpfungsprozesse"/>
          <xsd:enumeration value="Unterstützungsprozesse"/>
        </xsd:restriction>
      </xsd:simpleType>
    </xsd:element>
    <xsd:element name="Organisationseinheit" ma:index="41" nillable="true" ma:displayName="Organisationseinheit" ma:format="Dropdown" ma:internalName="Organisationseinheit">
      <xsd:simpleType>
        <xsd:restriction base="dms:Choice">
          <xsd:enumeration value="Finance"/>
          <xsd:enumeration value="Purchasing"/>
          <xsd:enumeration value="IMS- Quality, Safety and Environmental Management"/>
          <xsd:enumeration value="Innovation &amp; Prozess Management"/>
          <xsd:enumeration value="Infrastruktur, Magazin &amp; Logistik"/>
          <xsd:enumeration value="Sales"/>
          <xsd:enumeration value="Legal"/>
          <xsd:enumeration value="Digitalisation &amp; IT"/>
          <xsd:enumeration value="Engineering"/>
          <xsd:enumeration value="Business Unit Automotive"/>
          <xsd:enumeration value="Business Unit Engery &amp; Plant Construction"/>
          <xsd:enumeration value="Business Unit Microelectronics"/>
          <xsd:enumeration value="Business Unit Site Services"/>
          <xsd:enumeration value="Calculation"/>
          <xsd:enumeration value="Techincal Management"/>
          <xsd:enumeration value="Human Resource Management"/>
          <xsd:enumeration value="Marketing"/>
          <xsd:enumeration value="Business Unit Lifescience"/>
        </xsd:restriction>
      </xsd:simpleType>
    </xsd:element>
    <xsd:element name="Team" ma:index="42" nillable="true" ma:displayName="Team" ma:format="Dropdown" ma:internalName="Team">
      <xsd:simpleType>
        <xsd:restriction base="dms:Choice">
          <xsd:enumeration value="Quality Management"/>
          <xsd:enumeration value="Quality Assurance"/>
          <xsd:enumeration value="Safety Management"/>
          <xsd:enumeration value="Environmental Management"/>
          <xsd:enumeration value="Controlling"/>
          <xsd:enumeration value="Accounting"/>
          <xsd:enumeration value="Back Office"/>
          <xsd:enumeration value="Assembly Statt &amp; Resource Management"/>
          <xsd:enumeration value="HR-Administration &amp; Payrol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7c78-0b5d-4b35-8916-309710e0f8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4df3b5-03f5-40a5-b131-2fe80f2df98a}" ma:internalName="TaxCatchAll" ma:showField="CatchAllData" ma:web="3e3f41ce-2bd8-4048-aadd-22b25b84d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sion" ma:index="27" nillable="true" ma:displayName="Revision" ma:default="" ma:internalName="Revision0">
      <xsd:simpleType>
        <xsd:restriction base="dms:Text">
          <xsd:maxLength value="5"/>
        </xsd:restriction>
      </xsd:simpleType>
    </xsd:element>
    <xsd:element name="Angebotsnummer" ma:index="28" nillable="true" ma:displayName="Angebotsnummer" ma:internalName="Angebotsnummer">
      <xsd:simpleType>
        <xsd:restriction base="dms:Text">
          <xsd:maxLength value="255"/>
        </xsd:restriction>
      </xsd:simpleType>
    </xsd:element>
    <xsd:element name="Auftraggeber" ma:index="29" nillable="true" ma:displayName="Auftraggeber" ma:internalName="Auftraggeber">
      <xsd:simpleType>
        <xsd:restriction base="dms:Text">
          <xsd:maxLength value="255"/>
        </xsd:restriction>
      </xsd:simpleType>
    </xsd:element>
    <xsd:element name="c4c15d6ba897438ea7fc4658f08479a6" ma:index="31" nillable="true" ma:taxonomy="true" ma:internalName="c4c15d6ba897438ea7fc4658f08479a6" ma:taxonomyFieldName="Auftragnehmer0" ma:displayName="Auftragnehmer" ma:default="" ma:fieldId="{c4c15d6b-a897-438e-a7fc-4658f08479a6}" ma:sspId="ce6ad84b-74ec-4876-8a60-38c5fd9ff850" ma:termSetId="ff6689d7-689f-4a9d-9d78-797056a7f2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ktname" ma:index="32" nillable="true" ma:displayName="Auftragsname" ma:internalName="Projektname">
      <xsd:simpleType>
        <xsd:restriction base="dms:Text">
          <xsd:maxLength value="255"/>
        </xsd:restriction>
      </xsd:simpleType>
    </xsd:element>
    <xsd:element name="Bestellnummer" ma:index="33" nillable="true" ma:displayName="Bestellnummer" ma:internalName="Bestellnummer">
      <xsd:simpleType>
        <xsd:restriction base="dms:Text">
          <xsd:maxLength value="255"/>
        </xsd:restriction>
      </xsd:simpleType>
    </xsd:element>
    <xsd:element name="Kommissionsnummer1" ma:index="34" nillable="true" ma:displayName="Kommissionsnummer" ma:internalName="Kommissionsnummer1">
      <xsd:simpleType>
        <xsd:restriction base="dms:Text">
          <xsd:maxLength value="255"/>
        </xsd:restriction>
      </xsd:simpleType>
    </xsd:element>
    <xsd:element name="Kundenlogo" ma:index="35" nillable="true" ma:displayName="Link zu Kundenlogo" ma:internalName="Kundenlog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f41ce-2bd8-4048-aadd-22b25b84d25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c7c78-0b5d-4b35-8916-309710e0f8ae">
      <Value>8</Value>
      <Value>48</Value>
    </TaxCatchAll>
    <DAS xmlns="d12e4545-7303-43cd-a88e-3bc55d65c498">false</DAS>
    <SGU xmlns="d12e4545-7303-43cd-a88e-3bc55d65c498" xsi:nil="true"/>
    <Prozessebene xmlns="d12e4545-7303-43cd-a88e-3bc55d65c498" xsi:nil="true"/>
    <Team xmlns="d12e4545-7303-43cd-a88e-3bc55d65c498">Quality Assurance</Team>
    <Revision xmlns="4a9c7c78-0b5d-4b35-8916-309710e0f8ae">00</Revision>
    <ProjektVorlage xmlns="d12e4545-7303-43cd-a88e-3bc55d65c498">false</ProjektVorlage>
    <od16bfb098424853a6d8162dd63cdff4 xmlns="d12e4545-7303-43cd-a88e-3bc55d65c4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8f75b0f6-add1-433d-aadc-aa2110dbc7f7</TermId>
        </TermInfo>
      </Terms>
    </od16bfb098424853a6d8162dd63cdff4>
    <Formblattnummer xmlns="d12e4545-7303-43cd-a88e-3bc55d65c498">449</Formblattnummer>
    <Auftraggeber xmlns="4a9c7c78-0b5d-4b35-8916-309710e0f8ae" xsi:nil="true"/>
    <Projektname xmlns="4a9c7c78-0b5d-4b35-8916-309710e0f8ae" xsi:nil="true"/>
    <pdb76675696741efab4f776c135b3719 xmlns="d12e4545-7303-43cd-a88e-3bc55d65c4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SMR</TermName>
          <TermId xmlns="http://schemas.microsoft.com/office/infopath/2007/PartnerControls">ed67190b-6980-4ac5-b433-622db59a0eec</TermId>
        </TermInfo>
      </Terms>
    </pdb76675696741efab4f776c135b3719>
    <outdated xmlns="d12e4545-7303-43cd-a88e-3bc55d65c498">false</outdated>
    <OfficeVorlage xmlns="d12e4545-7303-43cd-a88e-3bc55d65c498">false</OfficeVorlage>
    <c4c15d6ba897438ea7fc4658f08479a6 xmlns="4a9c7c78-0b5d-4b35-8916-309710e0f8ae">
      <Terms xmlns="http://schemas.microsoft.com/office/infopath/2007/PartnerControls"/>
    </c4c15d6ba897438ea7fc4658f08479a6>
    <hba30f0d71ab4e18b775f6f913558821 xmlns="d12e4545-7303-43cd-a88e-3bc55d65c498">
      <Terms xmlns="http://schemas.microsoft.com/office/infopath/2007/PartnerControls"/>
    </hba30f0d71ab4e18b775f6f913558821>
    <SGUOrdner xmlns="d12e4545-7303-43cd-a88e-3bc55d65c498" xsi:nil="true"/>
    <Kundenlogo xmlns="4a9c7c78-0b5d-4b35-8916-309710e0f8ae" xsi:nil="true"/>
    <Verantwortlicher xmlns="d12e4545-7303-43cd-a88e-3bc55d65c498">
      <UserInfo>
        <DisplayName>Zinser Michael</DisplayName>
        <AccountId>806</AccountId>
        <AccountType/>
      </UserInfo>
    </Verantwortlicher>
    <Angebotsnummer xmlns="4a9c7c78-0b5d-4b35-8916-309710e0f8ae" xsi:nil="true"/>
    <Bestellnummer xmlns="4a9c7c78-0b5d-4b35-8916-309710e0f8ae" xsi:nil="true"/>
    <Kommissionsnummer1 xmlns="4a9c7c78-0b5d-4b35-8916-309710e0f8ae" xsi:nil="true"/>
    <Organisationseinheit xmlns="d12e4545-7303-43cd-a88e-3bc55d65c498">IMS- Quality, Safety and Environmental Management</Organisationseinhei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1F720-9E36-48C0-A649-C7727F238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13F79-7A29-4CAF-8A26-6424E52C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e4545-7303-43cd-a88e-3bc55d65c498"/>
    <ds:schemaRef ds:uri="4a9c7c78-0b5d-4b35-8916-309710e0f8ae"/>
    <ds:schemaRef ds:uri="3e3f41ce-2bd8-4048-aadd-22b25b84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89EDA-1C8D-4A07-9F3B-5CF7175A8178}">
  <ds:schemaRefs>
    <ds:schemaRef ds:uri="http://schemas.microsoft.com/office/2006/metadata/properties"/>
    <ds:schemaRef ds:uri="http://schemas.microsoft.com/office/infopath/2007/PartnerControls"/>
    <ds:schemaRef ds:uri="4a9c7c78-0b5d-4b35-8916-309710e0f8ae"/>
    <ds:schemaRef ds:uri="d12e4545-7303-43cd-a88e-3bc55d65c498"/>
  </ds:schemaRefs>
</ds:datastoreItem>
</file>

<file path=customXml/itemProps4.xml><?xml version="1.0" encoding="utf-8"?>
<ds:datastoreItem xmlns:ds="http://schemas.openxmlformats.org/officeDocument/2006/customXml" ds:itemID="{AD76A318-5F79-4E1A-A5B6-CA94F3434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2859</Words>
  <Characters>18018</Characters>
  <Application>Microsoft Office Word</Application>
  <DocSecurity>0</DocSecurity>
  <Lines>150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SMB</Company>
  <LinksUpToDate>false</LinksUpToDate>
  <CharactersWithSpaces>20836</CharactersWithSpaces>
  <SharedDoc>false</SharedDoc>
  <HLinks>
    <vt:vector size="48" baseType="variant"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_Toc172109075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_Toc172109074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_Toc172109073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_Toc172109072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_Toc172109071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_Toc172109070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_Toc172109069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_Toc172109068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Juergen Josl</cp:lastModifiedBy>
  <cp:revision>12</cp:revision>
  <cp:lastPrinted>2024-07-17T01:59:00Z</cp:lastPrinted>
  <dcterms:created xsi:type="dcterms:W3CDTF">2026-02-06T05:46:00Z</dcterms:created>
  <dcterms:modified xsi:type="dcterms:W3CDTF">2026-03-31T08:56:00Z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0x010100D306ADBD109BB6498E8E6A744ED0414B</vt:lpwstr>
  </property>
  <property fmtid="{D5CDD505-2E9C-101B-9397-08002B2CF9AE}" pid="3" name="MediaServiceImageTags">
    <vt:lpwstr/>
  </property>
  <property fmtid="{D5CDD505-2E9C-101B-9397-08002B2CF9AE}" pid="4" name="Auftragnehmer0">
    <vt:lpwstr/>
  </property>
  <property fmtid="{D5CDD505-2E9C-101B-9397-08002B2CF9AE}" pid="5" name="Bereich">
    <vt:lpwstr>48;#SMR|ed67190b-6980-4ac5-b433-622db59a0eec</vt:lpwstr>
  </property>
  <property fmtid="{D5CDD505-2E9C-101B-9397-08002B2CF9AE}" pid="6" name="Sprache">
    <vt:lpwstr>8;#Deutsch|8f75b0f6-add1-433d-aadc-aa2110dbc7f7</vt:lpwstr>
  </property>
  <property fmtid="{D5CDD505-2E9C-101B-9397-08002B2CF9AE}" pid="7" name="Gruppe">
    <vt:lpwstr/>
  </property>
</Properties>
</file>