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2107424" w:displacedByCustomXml="next"/>
    <w:sdt>
      <w:sdtPr>
        <w:rPr>
          <w:rFonts w:asciiTheme="minorHAnsi" w:eastAsiaTheme="minorEastAsia" w:hAnsiTheme="minorHAnsi" w:cs="Times New Roman"/>
          <w:color w:val="auto"/>
          <w:sz w:val="22"/>
          <w:szCs w:val="22"/>
        </w:rPr>
        <w:id w:val="1036216154"/>
        <w:docPartObj>
          <w:docPartGallery w:val="Table of Contents"/>
          <w:docPartUnique/>
        </w:docPartObj>
      </w:sdtPr>
      <w:sdtEndPr>
        <w:rPr>
          <w:rFonts w:ascii="Century Gothic" w:hAnsi="Century Gothic"/>
          <w:sz w:val="20"/>
          <w:szCs w:val="20"/>
        </w:rPr>
      </w:sdtEndPr>
      <w:sdtContent>
        <w:p w14:paraId="11D48102" w14:textId="2ADAC3D7" w:rsidR="00F0310B" w:rsidRPr="00595305" w:rsidRDefault="00F0310B">
          <w:pPr>
            <w:pStyle w:val="Inhaltsverzeichnisberschrift"/>
            <w:rPr>
              <w:rFonts w:ascii="Century Gothic" w:hAnsi="Century Gothic"/>
              <w:b/>
              <w:bCs/>
              <w:color w:val="auto"/>
              <w:sz w:val="24"/>
              <w:szCs w:val="24"/>
            </w:rPr>
          </w:pPr>
          <w:r w:rsidRPr="00595305">
            <w:rPr>
              <w:rFonts w:ascii="Century Gothic" w:hAnsi="Century Gothic"/>
              <w:b/>
              <w:bCs/>
              <w:color w:val="auto"/>
              <w:sz w:val="24"/>
              <w:szCs w:val="24"/>
            </w:rPr>
            <w:t>Inhalt</w:t>
          </w:r>
        </w:p>
        <w:p w14:paraId="20183A44" w14:textId="2E94BAFC" w:rsidR="00AE653A" w:rsidRPr="003D6AE6" w:rsidRDefault="00301269" w:rsidP="006901BD">
          <w:pPr>
            <w:pStyle w:val="Verzeichnis1"/>
            <w:rPr>
              <w:rFonts w:cstheme="minorBidi"/>
              <w:kern w:val="2"/>
              <w14:ligatures w14:val="standardContextual"/>
            </w:rPr>
          </w:pPr>
          <w:r w:rsidRPr="003D6AE6">
            <w:fldChar w:fldCharType="begin"/>
          </w:r>
          <w:r w:rsidR="00F0310B" w:rsidRPr="003D6AE6">
            <w:instrText>TOC \o "1-3" \z \u \h</w:instrText>
          </w:r>
          <w:r w:rsidRPr="003D6AE6">
            <w:fldChar w:fldCharType="separate"/>
          </w:r>
          <w:hyperlink w:anchor="_Toc221599943" w:history="1">
            <w:r w:rsidR="00AE653A" w:rsidRPr="003D6AE6">
              <w:rPr>
                <w:rStyle w:val="Hyperlink"/>
              </w:rPr>
              <w:t>1</w:t>
            </w:r>
            <w:r w:rsidR="00AE653A" w:rsidRPr="003D6AE6">
              <w:rPr>
                <w:rFonts w:cstheme="minorBidi"/>
                <w:kern w:val="2"/>
                <w14:ligatures w14:val="standardContextual"/>
              </w:rPr>
              <w:tab/>
            </w:r>
            <w:r w:rsidR="00AE653A" w:rsidRPr="003D6AE6">
              <w:rPr>
                <w:rStyle w:val="Hyperlink"/>
              </w:rPr>
              <w:t>Allgemein</w:t>
            </w:r>
            <w:r w:rsidR="00AE653A" w:rsidRPr="003D6AE6">
              <w:rPr>
                <w:webHidden/>
              </w:rPr>
              <w:tab/>
            </w:r>
            <w:r w:rsidR="00AE653A" w:rsidRPr="003D6AE6">
              <w:rPr>
                <w:webHidden/>
              </w:rPr>
              <w:fldChar w:fldCharType="begin"/>
            </w:r>
            <w:r w:rsidR="00AE653A" w:rsidRPr="003D6AE6">
              <w:rPr>
                <w:webHidden/>
              </w:rPr>
              <w:instrText xml:space="preserve"> PAGEREF _Toc221599943 \h </w:instrText>
            </w:r>
            <w:r w:rsidR="00AE653A" w:rsidRPr="003D6AE6">
              <w:rPr>
                <w:webHidden/>
              </w:rPr>
            </w:r>
            <w:r w:rsidR="00AE653A" w:rsidRPr="003D6AE6">
              <w:rPr>
                <w:webHidden/>
              </w:rPr>
              <w:fldChar w:fldCharType="separate"/>
            </w:r>
            <w:r w:rsidR="00AE653A" w:rsidRPr="003D6AE6">
              <w:rPr>
                <w:webHidden/>
              </w:rPr>
              <w:t>1</w:t>
            </w:r>
            <w:r w:rsidR="00AE653A" w:rsidRPr="003D6AE6">
              <w:rPr>
                <w:webHidden/>
              </w:rPr>
              <w:fldChar w:fldCharType="end"/>
            </w:r>
          </w:hyperlink>
        </w:p>
        <w:p w14:paraId="5C8007DC" w14:textId="241E8F12"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4" w:history="1">
            <w:r w:rsidRPr="003D6AE6">
              <w:rPr>
                <w:rStyle w:val="Hyperlink"/>
                <w:rFonts w:ascii="Century Gothic" w:eastAsia="Century Gothic" w:hAnsi="Century Gothic" w:cs="Century Gothic"/>
                <w:noProof/>
                <w:sz w:val="20"/>
                <w:szCs w:val="20"/>
                <w:lang w:val="de-AT"/>
              </w:rPr>
              <w:t>1.1</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Zweck</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_Toc221599944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1</w:t>
            </w:r>
            <w:r w:rsidRPr="003D6AE6">
              <w:rPr>
                <w:rFonts w:ascii="Century Gothic" w:hAnsi="Century Gothic"/>
                <w:noProof/>
                <w:webHidden/>
                <w:sz w:val="20"/>
                <w:szCs w:val="20"/>
              </w:rPr>
              <w:fldChar w:fldCharType="end"/>
            </w:r>
          </w:hyperlink>
        </w:p>
        <w:p w14:paraId="36BA75DD" w14:textId="5AE1007F" w:rsidR="00AE653A" w:rsidRPr="003D6AE6" w:rsidRDefault="00AE653A" w:rsidP="00C40FD8">
          <w:pPr>
            <w:pStyle w:val="Verzeichnis2"/>
            <w:jc w:val="both"/>
            <w:rPr>
              <w:rFonts w:ascii="Century Gothic" w:hAnsi="Century Gothic" w:cstheme="minorBidi"/>
              <w:noProof/>
              <w:kern w:val="2"/>
              <w:sz w:val="20"/>
              <w:szCs w:val="20"/>
              <w14:ligatures w14:val="standardContextual"/>
            </w:rPr>
          </w:pPr>
          <w:hyperlink w:anchor="_Toc221599945" w:history="1">
            <w:r w:rsidRPr="003D6AE6">
              <w:rPr>
                <w:rStyle w:val="Hyperlink"/>
                <w:rFonts w:ascii="Century Gothic" w:eastAsia="Century Gothic" w:hAnsi="Century Gothic" w:cs="Century Gothic"/>
                <w:noProof/>
                <w:sz w:val="20"/>
                <w:szCs w:val="20"/>
                <w:lang w:val="de-AT"/>
              </w:rPr>
              <w:t>1.2</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Ziel</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_Toc221599945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2A486B30" w14:textId="299F3C71"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6" w:history="1">
            <w:r w:rsidRPr="003D6AE6">
              <w:rPr>
                <w:rStyle w:val="Hyperlink"/>
                <w:rFonts w:ascii="Century Gothic" w:eastAsia="Century Gothic" w:hAnsi="Century Gothic" w:cs="Century Gothic"/>
                <w:noProof/>
                <w:sz w:val="20"/>
                <w:szCs w:val="20"/>
                <w:lang w:val="de-AT"/>
              </w:rPr>
              <w:t>1.3</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Mitgeltende Dokumente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_Toc221599946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3744EA5A" w14:textId="5EF4E3AD"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7" w:history="1">
            <w:r w:rsidRPr="003D6AE6">
              <w:rPr>
                <w:rStyle w:val="Hyperlink"/>
                <w:rFonts w:ascii="Century Gothic" w:eastAsia="Century Gothic" w:hAnsi="Century Gothic" w:cs="Century Gothic"/>
                <w:noProof/>
                <w:sz w:val="20"/>
                <w:szCs w:val="20"/>
                <w:lang w:val="de-AT"/>
              </w:rPr>
              <w:t>1.4</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Geltungsbereich</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_Toc221599947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69DF5755" w14:textId="71AF0CE6" w:rsidR="00AE653A" w:rsidRPr="003D6AE6" w:rsidRDefault="00AE653A" w:rsidP="006901BD">
          <w:pPr>
            <w:pStyle w:val="Verzeichnis1"/>
            <w:rPr>
              <w:rFonts w:cstheme="minorBidi"/>
              <w:kern w:val="2"/>
              <w14:ligatures w14:val="standardContextual"/>
            </w:rPr>
          </w:pPr>
          <w:hyperlink w:anchor="_Toc221599948" w:history="1">
            <w:r w:rsidRPr="003D6AE6">
              <w:rPr>
                <w:rStyle w:val="Hyperlink"/>
              </w:rPr>
              <w:t>2</w:t>
            </w:r>
            <w:r w:rsidRPr="003D6AE6">
              <w:rPr>
                <w:rFonts w:cstheme="minorBidi"/>
                <w:kern w:val="2"/>
                <w14:ligatures w14:val="standardContextual"/>
              </w:rPr>
              <w:tab/>
            </w:r>
            <w:r w:rsidRPr="003D6AE6">
              <w:rPr>
                <w:rStyle w:val="Hyperlink"/>
              </w:rPr>
              <w:t>Verantwortung des Lieferanten</w:t>
            </w:r>
            <w:r w:rsidRPr="003D6AE6">
              <w:rPr>
                <w:webHidden/>
              </w:rPr>
              <w:tab/>
            </w:r>
            <w:r w:rsidRPr="003D6AE6">
              <w:rPr>
                <w:webHidden/>
              </w:rPr>
              <w:fldChar w:fldCharType="begin"/>
            </w:r>
            <w:r w:rsidRPr="003D6AE6">
              <w:rPr>
                <w:webHidden/>
              </w:rPr>
              <w:instrText xml:space="preserve"> PAGEREF _Toc221599948 \h </w:instrText>
            </w:r>
            <w:r w:rsidRPr="003D6AE6">
              <w:rPr>
                <w:webHidden/>
              </w:rPr>
            </w:r>
            <w:r w:rsidRPr="003D6AE6">
              <w:rPr>
                <w:webHidden/>
              </w:rPr>
              <w:fldChar w:fldCharType="separate"/>
            </w:r>
            <w:r w:rsidRPr="003D6AE6">
              <w:rPr>
                <w:webHidden/>
              </w:rPr>
              <w:t>2</w:t>
            </w:r>
            <w:r w:rsidRPr="003D6AE6">
              <w:rPr>
                <w:webHidden/>
              </w:rPr>
              <w:fldChar w:fldCharType="end"/>
            </w:r>
          </w:hyperlink>
        </w:p>
        <w:p w14:paraId="38265383" w14:textId="7714259A"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49" w:history="1">
            <w:r w:rsidRPr="003D6AE6">
              <w:rPr>
                <w:rStyle w:val="Hyperlink"/>
                <w:rFonts w:ascii="Century Gothic" w:eastAsia="Century Gothic" w:hAnsi="Century Gothic" w:cs="Century Gothic"/>
                <w:noProof/>
                <w:sz w:val="20"/>
                <w:szCs w:val="20"/>
                <w:lang w:val="en-US"/>
              </w:rPr>
              <w:t>2.1</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Managementsysteme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_Toc221599949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315E9731" w14:textId="4BC36F11"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0" w:history="1">
            <w:r w:rsidRPr="003D6AE6">
              <w:rPr>
                <w:rStyle w:val="Hyperlink"/>
                <w:rFonts w:ascii="Century Gothic" w:eastAsia="Century Gothic" w:hAnsi="Century Gothic" w:cs="Century Gothic"/>
                <w:noProof/>
                <w:sz w:val="20"/>
                <w:szCs w:val="20"/>
                <w:lang w:val="de-AT"/>
              </w:rPr>
              <w:t>2.2</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Technische Anforderungen</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_Toc221599950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14DAFB09" w14:textId="4DA4D1D8"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1" w:history="1">
            <w:r w:rsidRPr="003D6AE6">
              <w:rPr>
                <w:rStyle w:val="Hyperlink"/>
                <w:rFonts w:ascii="Century Gothic" w:eastAsia="Century Gothic" w:hAnsi="Century Gothic" w:cs="Century Gothic"/>
                <w:noProof/>
                <w:sz w:val="20"/>
                <w:szCs w:val="20"/>
                <w:lang w:val="de-AT"/>
              </w:rPr>
              <w:t>2.3</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Planung, Prüfung und Dokumentation</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_Toc221599951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2</w:t>
            </w:r>
            <w:r w:rsidRPr="003D6AE6">
              <w:rPr>
                <w:rFonts w:ascii="Century Gothic" w:hAnsi="Century Gothic"/>
                <w:noProof/>
                <w:webHidden/>
                <w:sz w:val="20"/>
                <w:szCs w:val="20"/>
              </w:rPr>
              <w:fldChar w:fldCharType="end"/>
            </w:r>
          </w:hyperlink>
        </w:p>
        <w:p w14:paraId="2FDD3FA5" w14:textId="42D90CE6"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2" w:history="1">
            <w:r w:rsidRPr="003D6AE6">
              <w:rPr>
                <w:rStyle w:val="Hyperlink"/>
                <w:rFonts w:ascii="Century Gothic" w:eastAsia="Century Gothic" w:hAnsi="Century Gothic" w:cs="Century Gothic"/>
                <w:noProof/>
                <w:sz w:val="20"/>
                <w:szCs w:val="20"/>
                <w:lang w:val="de-AT"/>
              </w:rPr>
              <w:t>2.4</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Termine und Lieferverzug</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_Toc221599952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55DF5955" w14:textId="30CC5F87"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3" w:history="1">
            <w:r w:rsidRPr="003D6AE6">
              <w:rPr>
                <w:rStyle w:val="Hyperlink"/>
                <w:rFonts w:ascii="Century Gothic" w:eastAsia="Century Gothic" w:hAnsi="Century Gothic" w:cs="Century Gothic"/>
                <w:noProof/>
                <w:sz w:val="20"/>
                <w:szCs w:val="20"/>
                <w:lang w:val="de-AT"/>
              </w:rPr>
              <w:t>2.5</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Warenausgang und Anlieferzustand</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_Toc221599953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7472FB26" w14:textId="6FDC0C44"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54" w:history="1">
            <w:r w:rsidRPr="003D6AE6">
              <w:rPr>
                <w:rStyle w:val="Hyperlink"/>
                <w:rFonts w:ascii="Century Gothic" w:eastAsia="Century Gothic" w:hAnsi="Century Gothic" w:cs="Century Gothic"/>
                <w:noProof/>
                <w:sz w:val="20"/>
                <w:szCs w:val="20"/>
                <w:lang w:val="de-AT"/>
              </w:rPr>
              <w:t>2.6</w:t>
            </w:r>
            <w:r w:rsidRPr="003D6AE6">
              <w:rPr>
                <w:rFonts w:ascii="Century Gothic" w:hAnsi="Century Gothic" w:cstheme="minorBidi"/>
                <w:noProof/>
                <w:kern w:val="2"/>
                <w:sz w:val="20"/>
                <w:szCs w:val="20"/>
                <w14:ligatures w14:val="standardContextual"/>
              </w:rPr>
              <w:tab/>
            </w:r>
            <w:r w:rsidRPr="003D6AE6">
              <w:rPr>
                <w:rStyle w:val="Hyperlink"/>
                <w:rFonts w:ascii="Century Gothic" w:eastAsia="Century Gothic" w:hAnsi="Century Gothic" w:cs="Century Gothic"/>
                <w:noProof/>
                <w:sz w:val="20"/>
                <w:szCs w:val="20"/>
                <w:lang w:val="de-AT"/>
              </w:rPr>
              <w:t>Unterauftragnehmer</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_Toc221599954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3</w:t>
            </w:r>
            <w:r w:rsidRPr="003D6AE6">
              <w:rPr>
                <w:rFonts w:ascii="Century Gothic" w:hAnsi="Century Gothic"/>
                <w:noProof/>
                <w:webHidden/>
                <w:sz w:val="20"/>
                <w:szCs w:val="20"/>
              </w:rPr>
              <w:fldChar w:fldCharType="end"/>
            </w:r>
          </w:hyperlink>
        </w:p>
        <w:p w14:paraId="7A19E8DF" w14:textId="1F469EA6" w:rsidR="00AE653A" w:rsidRPr="003D6AE6" w:rsidRDefault="00AE653A" w:rsidP="006901BD">
          <w:pPr>
            <w:pStyle w:val="Verzeichnis1"/>
            <w:rPr>
              <w:rFonts w:cstheme="minorBidi"/>
              <w:kern w:val="2"/>
              <w14:ligatures w14:val="standardContextual"/>
            </w:rPr>
          </w:pPr>
          <w:hyperlink w:anchor="_Toc221599955" w:history="1">
            <w:r w:rsidRPr="003D6AE6">
              <w:rPr>
                <w:rStyle w:val="Hyperlink"/>
              </w:rPr>
              <w:t>3</w:t>
            </w:r>
            <w:r w:rsidRPr="003D6AE6">
              <w:rPr>
                <w:rFonts w:cstheme="minorBidi"/>
                <w:kern w:val="2"/>
                <w14:ligatures w14:val="standardContextual"/>
              </w:rPr>
              <w:tab/>
            </w:r>
            <w:r w:rsidRPr="003D6AE6">
              <w:rPr>
                <w:rStyle w:val="Hyperlink"/>
              </w:rPr>
              <w:t>Abweichungen und Reklamationen</w:t>
            </w:r>
            <w:r w:rsidRPr="003D6AE6">
              <w:rPr>
                <w:webHidden/>
              </w:rPr>
              <w:tab/>
            </w:r>
            <w:r w:rsidRPr="003D6AE6">
              <w:rPr>
                <w:webHidden/>
              </w:rPr>
              <w:fldChar w:fldCharType="begin"/>
            </w:r>
            <w:r w:rsidRPr="003D6AE6">
              <w:rPr>
                <w:webHidden/>
              </w:rPr>
              <w:instrText xml:space="preserve"> PAGEREF _Toc221599955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4F07ADD2" w14:textId="232AAC3F" w:rsidR="00AE653A" w:rsidRPr="003D6AE6" w:rsidRDefault="00AE653A" w:rsidP="006901BD">
          <w:pPr>
            <w:pStyle w:val="Verzeichnis1"/>
            <w:rPr>
              <w:rFonts w:cstheme="minorBidi"/>
              <w:kern w:val="2"/>
              <w14:ligatures w14:val="standardContextual"/>
            </w:rPr>
          </w:pPr>
          <w:hyperlink w:anchor="_Toc221599956" w:history="1">
            <w:r w:rsidRPr="003D6AE6">
              <w:rPr>
                <w:rStyle w:val="Hyperlink"/>
              </w:rPr>
              <w:t>4</w:t>
            </w:r>
            <w:r w:rsidRPr="003D6AE6">
              <w:rPr>
                <w:rFonts w:cstheme="minorBidi"/>
                <w:kern w:val="2"/>
                <w14:ligatures w14:val="standardContextual"/>
              </w:rPr>
              <w:tab/>
            </w:r>
            <w:r w:rsidRPr="003D6AE6">
              <w:rPr>
                <w:rStyle w:val="Hyperlink"/>
              </w:rPr>
              <w:t>Audit- und Informationsrecht</w:t>
            </w:r>
            <w:r w:rsidRPr="003D6AE6">
              <w:rPr>
                <w:webHidden/>
              </w:rPr>
              <w:tab/>
            </w:r>
            <w:r w:rsidRPr="003D6AE6">
              <w:rPr>
                <w:webHidden/>
              </w:rPr>
              <w:fldChar w:fldCharType="begin"/>
            </w:r>
            <w:r w:rsidRPr="003D6AE6">
              <w:rPr>
                <w:webHidden/>
              </w:rPr>
              <w:instrText xml:space="preserve"> PAGEREF _Toc221599956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74A42009" w14:textId="3030FC79" w:rsidR="00AE653A" w:rsidRPr="003D6AE6" w:rsidRDefault="00AE653A" w:rsidP="006901BD">
          <w:pPr>
            <w:pStyle w:val="Verzeichnis1"/>
            <w:rPr>
              <w:rFonts w:cstheme="minorBidi"/>
              <w:kern w:val="2"/>
              <w14:ligatures w14:val="standardContextual"/>
            </w:rPr>
          </w:pPr>
          <w:hyperlink w:anchor="_Toc221599957" w:history="1">
            <w:r w:rsidRPr="003D6AE6">
              <w:rPr>
                <w:rStyle w:val="Hyperlink"/>
              </w:rPr>
              <w:t>5</w:t>
            </w:r>
            <w:r w:rsidRPr="003D6AE6">
              <w:rPr>
                <w:rFonts w:cstheme="minorBidi"/>
                <w:kern w:val="2"/>
                <w14:ligatures w14:val="standardContextual"/>
              </w:rPr>
              <w:tab/>
            </w:r>
            <w:r w:rsidRPr="003D6AE6">
              <w:rPr>
                <w:rStyle w:val="Hyperlink"/>
              </w:rPr>
              <w:t>Umwelt, Sicherheit und Nachhaltigkeit</w:t>
            </w:r>
            <w:r w:rsidRPr="003D6AE6">
              <w:rPr>
                <w:webHidden/>
              </w:rPr>
              <w:tab/>
            </w:r>
            <w:r w:rsidRPr="003D6AE6">
              <w:rPr>
                <w:webHidden/>
              </w:rPr>
              <w:fldChar w:fldCharType="begin"/>
            </w:r>
            <w:r w:rsidRPr="003D6AE6">
              <w:rPr>
                <w:webHidden/>
              </w:rPr>
              <w:instrText xml:space="preserve"> PAGEREF _Toc221599957 \h </w:instrText>
            </w:r>
            <w:r w:rsidRPr="003D6AE6">
              <w:rPr>
                <w:webHidden/>
              </w:rPr>
            </w:r>
            <w:r w:rsidRPr="003D6AE6">
              <w:rPr>
                <w:webHidden/>
              </w:rPr>
              <w:fldChar w:fldCharType="separate"/>
            </w:r>
            <w:r w:rsidRPr="003D6AE6">
              <w:rPr>
                <w:webHidden/>
              </w:rPr>
              <w:t>3</w:t>
            </w:r>
            <w:r w:rsidRPr="003D6AE6">
              <w:rPr>
                <w:webHidden/>
              </w:rPr>
              <w:fldChar w:fldCharType="end"/>
            </w:r>
          </w:hyperlink>
        </w:p>
        <w:p w14:paraId="576DF5CD" w14:textId="0EF79F69" w:rsidR="00AE653A" w:rsidRPr="003D6AE6" w:rsidRDefault="00AE653A" w:rsidP="006901BD">
          <w:pPr>
            <w:pStyle w:val="Verzeichnis1"/>
            <w:rPr>
              <w:rFonts w:cstheme="minorBidi"/>
              <w:kern w:val="2"/>
              <w14:ligatures w14:val="standardContextual"/>
            </w:rPr>
          </w:pPr>
          <w:hyperlink w:anchor="_Toc221599958" w:history="1">
            <w:r w:rsidRPr="003D6AE6">
              <w:rPr>
                <w:rStyle w:val="Hyperlink"/>
              </w:rPr>
              <w:t>6</w:t>
            </w:r>
            <w:r w:rsidRPr="003D6AE6">
              <w:rPr>
                <w:rFonts w:cstheme="minorBidi"/>
                <w:kern w:val="2"/>
                <w14:ligatures w14:val="standardContextual"/>
              </w:rPr>
              <w:tab/>
            </w:r>
            <w:r w:rsidRPr="003D6AE6">
              <w:rPr>
                <w:rStyle w:val="Hyperlink"/>
              </w:rPr>
              <w:t>Leistung und Lieferantenbewertung</w:t>
            </w:r>
            <w:r w:rsidRPr="003D6AE6">
              <w:rPr>
                <w:webHidden/>
              </w:rPr>
              <w:tab/>
            </w:r>
            <w:r w:rsidRPr="003D6AE6">
              <w:rPr>
                <w:webHidden/>
              </w:rPr>
              <w:fldChar w:fldCharType="begin"/>
            </w:r>
            <w:r w:rsidRPr="003D6AE6">
              <w:rPr>
                <w:webHidden/>
              </w:rPr>
              <w:instrText xml:space="preserve"> PAGEREF _Toc221599958 \h </w:instrText>
            </w:r>
            <w:r w:rsidRPr="003D6AE6">
              <w:rPr>
                <w:webHidden/>
              </w:rPr>
            </w:r>
            <w:r w:rsidRPr="003D6AE6">
              <w:rPr>
                <w:webHidden/>
              </w:rPr>
              <w:fldChar w:fldCharType="separate"/>
            </w:r>
            <w:r w:rsidRPr="003D6AE6">
              <w:rPr>
                <w:webHidden/>
              </w:rPr>
              <w:t>4</w:t>
            </w:r>
            <w:r w:rsidRPr="003D6AE6">
              <w:rPr>
                <w:webHidden/>
              </w:rPr>
              <w:fldChar w:fldCharType="end"/>
            </w:r>
          </w:hyperlink>
        </w:p>
        <w:p w14:paraId="307B8F1E" w14:textId="60EF7658" w:rsidR="00AE653A" w:rsidRPr="003D6AE6" w:rsidRDefault="00AE653A" w:rsidP="006901BD">
          <w:pPr>
            <w:pStyle w:val="Verzeichnis1"/>
            <w:rPr>
              <w:rFonts w:cstheme="minorBidi"/>
              <w:kern w:val="2"/>
              <w14:ligatures w14:val="standardContextual"/>
            </w:rPr>
          </w:pPr>
          <w:hyperlink w:anchor="_Toc221599959" w:history="1">
            <w:r w:rsidRPr="003D6AE6">
              <w:rPr>
                <w:rStyle w:val="Hyperlink"/>
              </w:rPr>
              <w:t>7</w:t>
            </w:r>
            <w:r w:rsidRPr="003D6AE6">
              <w:rPr>
                <w:rFonts w:cstheme="minorBidi"/>
                <w:kern w:val="2"/>
                <w14:ligatures w14:val="standardContextual"/>
              </w:rPr>
              <w:tab/>
            </w:r>
            <w:r w:rsidRPr="003D6AE6">
              <w:rPr>
                <w:rStyle w:val="Hyperlink"/>
              </w:rPr>
              <w:t>Laufzeit und Anwendungsbereich</w:t>
            </w:r>
            <w:r w:rsidRPr="003D6AE6">
              <w:rPr>
                <w:webHidden/>
              </w:rPr>
              <w:tab/>
            </w:r>
            <w:r w:rsidRPr="003D6AE6">
              <w:rPr>
                <w:webHidden/>
              </w:rPr>
              <w:fldChar w:fldCharType="begin"/>
            </w:r>
            <w:r w:rsidRPr="003D6AE6">
              <w:rPr>
                <w:webHidden/>
              </w:rPr>
              <w:instrText xml:space="preserve"> PAGEREF _Toc221599959 \h </w:instrText>
            </w:r>
            <w:r w:rsidRPr="003D6AE6">
              <w:rPr>
                <w:webHidden/>
              </w:rPr>
            </w:r>
            <w:r w:rsidRPr="003D6AE6">
              <w:rPr>
                <w:webHidden/>
              </w:rPr>
              <w:fldChar w:fldCharType="separate"/>
            </w:r>
            <w:r w:rsidRPr="003D6AE6">
              <w:rPr>
                <w:webHidden/>
              </w:rPr>
              <w:t>4</w:t>
            </w:r>
            <w:r w:rsidRPr="003D6AE6">
              <w:rPr>
                <w:webHidden/>
              </w:rPr>
              <w:fldChar w:fldCharType="end"/>
            </w:r>
          </w:hyperlink>
        </w:p>
        <w:p w14:paraId="0F2E3CFB" w14:textId="41F3380B" w:rsidR="00AE653A" w:rsidRPr="003D6AE6" w:rsidRDefault="00AE653A" w:rsidP="00C40FD8">
          <w:pPr>
            <w:pStyle w:val="Verzeichnis2"/>
            <w:rPr>
              <w:rFonts w:ascii="Century Gothic" w:hAnsi="Century Gothic" w:cstheme="minorBidi"/>
              <w:noProof/>
              <w:kern w:val="2"/>
              <w:sz w:val="20"/>
              <w:szCs w:val="20"/>
              <w14:ligatures w14:val="standardContextual"/>
            </w:rPr>
          </w:pPr>
          <w:hyperlink w:anchor="_Toc221599960" w:history="1">
            <w:r w:rsidRPr="003D6AE6">
              <w:rPr>
                <w:rStyle w:val="Hyperlink"/>
                <w:rFonts w:ascii="Century Gothic" w:hAnsi="Century Gothic"/>
                <w:noProof/>
                <w:sz w:val="20"/>
                <w:szCs w:val="20"/>
              </w:rPr>
              <w:t>7.1</w:t>
            </w:r>
            <w:r w:rsidRPr="003D6AE6">
              <w:rPr>
                <w:rFonts w:ascii="Century Gothic" w:hAnsi="Century Gothic" w:cstheme="minorBidi"/>
                <w:noProof/>
                <w:kern w:val="2"/>
                <w:sz w:val="20"/>
                <w:szCs w:val="20"/>
                <w14:ligatures w14:val="standardContextual"/>
              </w:rPr>
              <w:tab/>
            </w:r>
            <w:r w:rsidRPr="003D6AE6">
              <w:rPr>
                <w:rStyle w:val="Hyperlink"/>
                <w:rFonts w:ascii="Century Gothic" w:hAnsi="Century Gothic"/>
                <w:noProof/>
                <w:sz w:val="20"/>
                <w:szCs w:val="20"/>
              </w:rPr>
              <w:t>Freigabe</w:t>
            </w:r>
            <w:r w:rsidRPr="003D6AE6">
              <w:rPr>
                <w:rFonts w:ascii="Century Gothic" w:hAnsi="Century Gothic"/>
                <w:noProof/>
                <w:webHidden/>
                <w:sz w:val="20"/>
                <w:szCs w:val="20"/>
              </w:rPr>
              <w:tab/>
            </w:r>
            <w:r w:rsidRPr="003D6AE6">
              <w:rPr>
                <w:rFonts w:ascii="Century Gothic" w:hAnsi="Century Gothic"/>
                <w:noProof/>
                <w:webHidden/>
                <w:sz w:val="20"/>
                <w:szCs w:val="20"/>
              </w:rPr>
              <w:fldChar w:fldCharType="begin"/>
            </w:r>
            <w:r w:rsidRPr="003D6AE6">
              <w:rPr>
                <w:rFonts w:ascii="Century Gothic" w:hAnsi="Century Gothic"/>
                <w:noProof/>
                <w:webHidden/>
                <w:sz w:val="20"/>
                <w:szCs w:val="20"/>
              </w:rPr>
              <w:instrText xml:space="preserve"> PAGEREF _Toc221599960 \h </w:instrText>
            </w:r>
            <w:r w:rsidRPr="003D6AE6">
              <w:rPr>
                <w:rFonts w:ascii="Century Gothic" w:hAnsi="Century Gothic"/>
                <w:noProof/>
                <w:webHidden/>
                <w:sz w:val="20"/>
                <w:szCs w:val="20"/>
              </w:rPr>
            </w:r>
            <w:r w:rsidRPr="003D6AE6">
              <w:rPr>
                <w:rFonts w:ascii="Century Gothic" w:hAnsi="Century Gothic"/>
                <w:noProof/>
                <w:webHidden/>
                <w:sz w:val="20"/>
                <w:szCs w:val="20"/>
              </w:rPr>
              <w:fldChar w:fldCharType="separate"/>
            </w:r>
            <w:r w:rsidRPr="003D6AE6">
              <w:rPr>
                <w:rFonts w:ascii="Century Gothic" w:hAnsi="Century Gothic"/>
                <w:noProof/>
                <w:webHidden/>
                <w:sz w:val="20"/>
                <w:szCs w:val="20"/>
              </w:rPr>
              <w:t>4</w:t>
            </w:r>
            <w:r w:rsidRPr="003D6AE6">
              <w:rPr>
                <w:rFonts w:ascii="Century Gothic" w:hAnsi="Century Gothic"/>
                <w:noProof/>
                <w:webHidden/>
                <w:sz w:val="20"/>
                <w:szCs w:val="20"/>
              </w:rPr>
              <w:fldChar w:fldCharType="end"/>
            </w:r>
          </w:hyperlink>
        </w:p>
        <w:p w14:paraId="7F96DE43" w14:textId="2053F2BB" w:rsidR="003D6AE6" w:rsidRPr="003D6AE6" w:rsidRDefault="00301269" w:rsidP="003D6AE6">
          <w:pPr>
            <w:pStyle w:val="Verzeichnis3"/>
            <w:tabs>
              <w:tab w:val="left" w:pos="1095"/>
              <w:tab w:val="right" w:leader="dot" w:pos="10365"/>
            </w:tabs>
            <w:rPr>
              <w:rFonts w:ascii="Century Gothic" w:hAnsi="Century Gothic"/>
              <w:noProof/>
              <w:color w:val="467886" w:themeColor="hyperlink"/>
              <w:kern w:val="2"/>
              <w:sz w:val="20"/>
              <w:szCs w:val="20"/>
              <w:u w:val="single"/>
              <w14:ligatures w14:val="standardContextual"/>
            </w:rPr>
          </w:pPr>
          <w:r w:rsidRPr="003D6AE6">
            <w:rPr>
              <w:rFonts w:ascii="Century Gothic" w:hAnsi="Century Gothic"/>
              <w:sz w:val="20"/>
              <w:szCs w:val="20"/>
            </w:rPr>
            <w:fldChar w:fldCharType="end"/>
          </w:r>
        </w:p>
      </w:sdtContent>
    </w:sdt>
    <w:p w14:paraId="2D5F8FDD" w14:textId="36DBDC2D" w:rsidR="008C1D72" w:rsidRDefault="00C5718A" w:rsidP="0A5FACF1">
      <w:pPr>
        <w:pStyle w:val="berschrift1"/>
        <w:spacing w:before="0" w:after="0"/>
        <w:ind w:left="431" w:hanging="431"/>
        <w:rPr>
          <w:rFonts w:eastAsia="Century Gothic" w:cs="Century Gothic"/>
          <w:szCs w:val="24"/>
          <w:lang w:val="de-AT"/>
        </w:rPr>
      </w:pPr>
      <w:bookmarkStart w:id="1" w:name="_Toc222211226"/>
      <w:r w:rsidRPr="0A5FACF1">
        <w:rPr>
          <w:rFonts w:eastAsia="Century Gothic" w:cs="Century Gothic"/>
          <w:szCs w:val="24"/>
          <w:lang w:val="de-AT"/>
        </w:rPr>
        <w:t>Allgemein</w:t>
      </w:r>
      <w:bookmarkEnd w:id="0"/>
      <w:bookmarkEnd w:id="1"/>
    </w:p>
    <w:p w14:paraId="25B635C2" w14:textId="77777777" w:rsidR="00827C68" w:rsidRPr="00335BE8" w:rsidRDefault="00827C68" w:rsidP="00827C68">
      <w:pPr>
        <w:jc w:val="left"/>
        <w:rPr>
          <w:lang w:val="de-DE"/>
        </w:rPr>
      </w:pPr>
      <w:r w:rsidRPr="00335BE8">
        <w:rPr>
          <w:lang w:val="de-DE"/>
        </w:rPr>
        <w:t>Diese Qualitätssicherungsvereinbarung (QSV) ergänzt bestehende vertragliche Vereinbarungen zwischen SMB und dem Lieferanten hinsichtlich qualitätsbezogener Anforderungen.</w:t>
      </w:r>
    </w:p>
    <w:p w14:paraId="5A392766" w14:textId="77777777" w:rsidR="00827C68" w:rsidRPr="00335BE8" w:rsidRDefault="00827C68" w:rsidP="00827C68">
      <w:pPr>
        <w:jc w:val="left"/>
        <w:rPr>
          <w:lang w:val="de-DE"/>
        </w:rPr>
      </w:pPr>
      <w:r w:rsidRPr="00335BE8">
        <w:rPr>
          <w:lang w:val="de-DE"/>
        </w:rPr>
        <w:t>Sofern abweichende Regelungen in Jahresvereinbarungen, Rahmenverträgen oder individuell vereinbarten Vertragsbestandteilen bestehen, gelten diese vorrangig.</w:t>
      </w:r>
    </w:p>
    <w:p w14:paraId="79C974AC" w14:textId="74ABCC76" w:rsidR="003C700C" w:rsidRDefault="003C700C" w:rsidP="00827C68">
      <w:pPr>
        <w:jc w:val="left"/>
        <w:rPr>
          <w:lang w:val="de-DE"/>
        </w:rPr>
      </w:pPr>
      <w:r w:rsidRPr="00335BE8">
        <w:t>Nicht anwendbare Anforderungen, produktspezifische Ergänzungen, technische Präzisierungen oder ergänzende Vereinbarungen können ergänzend über gemeinsam abgestimmte Side Letter geregelt werden.</w:t>
      </w:r>
    </w:p>
    <w:p w14:paraId="6C47EE5E" w14:textId="77777777" w:rsidR="001562A5" w:rsidRPr="007B2CE0" w:rsidRDefault="001562A5" w:rsidP="008F640B">
      <w:pPr>
        <w:jc w:val="left"/>
        <w:rPr>
          <w:lang w:val="de-DE"/>
        </w:rPr>
      </w:pPr>
    </w:p>
    <w:p w14:paraId="3D99C574" w14:textId="4BC77A5E" w:rsidR="008C1D72" w:rsidRDefault="00C5718A" w:rsidP="0A5FACF1">
      <w:pPr>
        <w:pStyle w:val="berschrift2"/>
        <w:spacing w:before="0" w:after="0"/>
        <w:rPr>
          <w:rFonts w:eastAsia="Century Gothic" w:cs="Century Gothic"/>
          <w:szCs w:val="24"/>
          <w:lang w:val="de-AT"/>
        </w:rPr>
      </w:pPr>
      <w:bookmarkStart w:id="2" w:name="_Toc222211227"/>
      <w:r w:rsidRPr="0A5FACF1">
        <w:rPr>
          <w:rFonts w:eastAsia="Century Gothic" w:cs="Century Gothic"/>
          <w:szCs w:val="24"/>
          <w:lang w:val="de-AT"/>
        </w:rPr>
        <w:t>Zweck</w:t>
      </w:r>
      <w:bookmarkEnd w:id="2"/>
    </w:p>
    <w:p w14:paraId="7DD2DC6F" w14:textId="77777777" w:rsidR="006936E9" w:rsidRPr="00335BE8" w:rsidRDefault="006936E9" w:rsidP="006936E9">
      <w:pPr>
        <w:rPr>
          <w:lang w:val="de-DE"/>
        </w:rPr>
      </w:pPr>
      <w:r w:rsidRPr="00335BE8">
        <w:rPr>
          <w:lang w:val="de-DE"/>
        </w:rPr>
        <w:t>Mit dieser Qualitätssicherungsvereinbarung (QSV) sollen verbindliche Anforderungen an Lieferanten der SMB Industrieanlagenbau GmbH festgelegt werden, um eine stabile, termingerechte und qualitätsgesicherte Beschaffung im Anlagenbau sicherzustellen.</w:t>
      </w:r>
    </w:p>
    <w:p w14:paraId="1D5F99FE" w14:textId="77777777" w:rsidR="006936E9" w:rsidRPr="00335BE8" w:rsidRDefault="006936E9" w:rsidP="006936E9">
      <w:pPr>
        <w:rPr>
          <w:lang w:val="de-DE"/>
        </w:rPr>
      </w:pPr>
      <w:r w:rsidRPr="00335BE8">
        <w:rPr>
          <w:lang w:val="de-DE"/>
        </w:rPr>
        <w:t>Die Vereinbarung dient insbesondere der:</w:t>
      </w:r>
    </w:p>
    <w:p w14:paraId="77A36EED" w14:textId="77777777" w:rsidR="006936E9" w:rsidRPr="00335BE8" w:rsidRDefault="006936E9">
      <w:pPr>
        <w:numPr>
          <w:ilvl w:val="0"/>
          <w:numId w:val="12"/>
        </w:numPr>
        <w:rPr>
          <w:lang w:val="de-DE"/>
        </w:rPr>
      </w:pPr>
      <w:r w:rsidRPr="00335BE8">
        <w:rPr>
          <w:lang w:val="de-DE"/>
        </w:rPr>
        <w:t>Vermeidung von Qualitätsmängeln entlang der Lieferkette</w:t>
      </w:r>
    </w:p>
    <w:p w14:paraId="53E36924" w14:textId="77777777" w:rsidR="006936E9" w:rsidRPr="00335BE8" w:rsidRDefault="006936E9">
      <w:pPr>
        <w:numPr>
          <w:ilvl w:val="0"/>
          <w:numId w:val="12"/>
        </w:numPr>
        <w:rPr>
          <w:lang w:val="de-DE"/>
        </w:rPr>
      </w:pPr>
      <w:r w:rsidRPr="00335BE8">
        <w:rPr>
          <w:lang w:val="de-DE"/>
        </w:rPr>
        <w:t>Reduzierung von Reklamationen, Nacharbeit und Projektverzögerungen</w:t>
      </w:r>
    </w:p>
    <w:p w14:paraId="56456B69" w14:textId="77777777" w:rsidR="006936E9" w:rsidRPr="00335BE8" w:rsidRDefault="006936E9">
      <w:pPr>
        <w:numPr>
          <w:ilvl w:val="0"/>
          <w:numId w:val="12"/>
        </w:numPr>
        <w:rPr>
          <w:lang w:val="de-DE"/>
        </w:rPr>
      </w:pPr>
      <w:r w:rsidRPr="00335BE8">
        <w:rPr>
          <w:lang w:val="de-DE"/>
        </w:rPr>
        <w:t>Sicherstellung vollständiger und strukturierter Qualitätsdokumentation</w:t>
      </w:r>
    </w:p>
    <w:p w14:paraId="4036731C" w14:textId="77777777" w:rsidR="006936E9" w:rsidRPr="00335BE8" w:rsidRDefault="006936E9">
      <w:pPr>
        <w:numPr>
          <w:ilvl w:val="0"/>
          <w:numId w:val="12"/>
        </w:numPr>
        <w:rPr>
          <w:lang w:val="de-DE"/>
        </w:rPr>
      </w:pPr>
      <w:r w:rsidRPr="00335BE8">
        <w:rPr>
          <w:lang w:val="de-DE"/>
        </w:rPr>
        <w:t>Klaren Zuordnung von Verantwortlichkeiten zwischen SMB und Lieferant</w:t>
      </w:r>
    </w:p>
    <w:p w14:paraId="03EADC75" w14:textId="77777777" w:rsidR="006936E9" w:rsidRPr="00335BE8" w:rsidRDefault="006936E9">
      <w:pPr>
        <w:numPr>
          <w:ilvl w:val="0"/>
          <w:numId w:val="12"/>
        </w:numPr>
        <w:rPr>
          <w:lang w:val="de-DE"/>
        </w:rPr>
      </w:pPr>
      <w:r w:rsidRPr="00335BE8">
        <w:rPr>
          <w:lang w:val="de-DE"/>
        </w:rPr>
        <w:t>Regelung allgemeiner organisatorischer und qualitativer Anforderungen entlang der Zusammenarbeit</w:t>
      </w:r>
    </w:p>
    <w:p w14:paraId="592874D7" w14:textId="3D938F3F" w:rsidR="00131E41" w:rsidRPr="001562A5" w:rsidRDefault="00131E41" w:rsidP="0A5FACF1">
      <w:pPr>
        <w:rPr>
          <w:lang w:val="de-DE"/>
        </w:rPr>
      </w:pPr>
      <w:r w:rsidRPr="001562A5">
        <w:rPr>
          <w:rFonts w:eastAsia="Century Gothic" w:cs="Century Gothic"/>
          <w:szCs w:val="20"/>
          <w:lang w:val="de-DE"/>
        </w:rPr>
        <w:t xml:space="preserve"> </w:t>
      </w:r>
    </w:p>
    <w:p w14:paraId="72966483" w14:textId="5362C6A7" w:rsidR="00131E41" w:rsidRDefault="00131E41" w:rsidP="0A5FACF1">
      <w:pPr>
        <w:pStyle w:val="berschrift2"/>
        <w:spacing w:before="0" w:after="0"/>
        <w:rPr>
          <w:rFonts w:eastAsia="Century Gothic" w:cs="Century Gothic"/>
          <w:szCs w:val="24"/>
          <w:lang w:val="de-AT"/>
        </w:rPr>
      </w:pPr>
      <w:bookmarkStart w:id="3" w:name="_Toc222211228"/>
      <w:r w:rsidRPr="0A5FACF1">
        <w:rPr>
          <w:rFonts w:eastAsia="Century Gothic" w:cs="Century Gothic"/>
          <w:szCs w:val="24"/>
          <w:lang w:val="de-AT"/>
        </w:rPr>
        <w:t>Ziel</w:t>
      </w:r>
      <w:bookmarkEnd w:id="3"/>
    </w:p>
    <w:p w14:paraId="0DEF5035" w14:textId="72370181" w:rsidR="005F10A8" w:rsidRPr="005F10A8" w:rsidRDefault="00827C68" w:rsidP="005F10A8">
      <w:pPr>
        <w:rPr>
          <w:rFonts w:eastAsia="Century Gothic" w:cs="Century Gothic"/>
          <w:szCs w:val="20"/>
          <w:lang w:val="de-DE"/>
        </w:rPr>
      </w:pPr>
      <w:r w:rsidRPr="00827C68">
        <w:rPr>
          <w:rFonts w:eastAsia="Century Gothic" w:cs="Century Gothic"/>
          <w:szCs w:val="20"/>
        </w:rPr>
        <w:t>Ziel dieser Regelung ist es sicherzustellen</w:t>
      </w:r>
      <w:r w:rsidR="005F10A8" w:rsidRPr="005F10A8">
        <w:rPr>
          <w:rFonts w:eastAsia="Century Gothic" w:cs="Century Gothic"/>
          <w:szCs w:val="20"/>
          <w:lang w:val="de-DE"/>
        </w:rPr>
        <w:t>, dass:</w:t>
      </w:r>
    </w:p>
    <w:p w14:paraId="30E4ADFD" w14:textId="77777777" w:rsidR="005F10A8" w:rsidRPr="005F10A8" w:rsidRDefault="005F10A8">
      <w:pPr>
        <w:numPr>
          <w:ilvl w:val="0"/>
          <w:numId w:val="4"/>
        </w:numPr>
        <w:rPr>
          <w:rFonts w:eastAsia="Century Gothic" w:cs="Century Gothic"/>
          <w:szCs w:val="20"/>
          <w:lang w:val="de-DE"/>
        </w:rPr>
      </w:pPr>
      <w:r w:rsidRPr="005F10A8">
        <w:rPr>
          <w:rFonts w:eastAsia="Century Gothic" w:cs="Century Gothic"/>
          <w:szCs w:val="20"/>
          <w:lang w:val="de-DE"/>
        </w:rPr>
        <w:t>ausschließlich spezifikationskonforme, geprüfte und dokumentierte Produkte geliefert werden</w:t>
      </w:r>
    </w:p>
    <w:p w14:paraId="4FF3873E" w14:textId="77777777" w:rsidR="005F10A8" w:rsidRPr="005F10A8" w:rsidRDefault="005F10A8">
      <w:pPr>
        <w:numPr>
          <w:ilvl w:val="0"/>
          <w:numId w:val="4"/>
        </w:numPr>
        <w:rPr>
          <w:rFonts w:eastAsia="Century Gothic" w:cs="Century Gothic"/>
          <w:szCs w:val="20"/>
          <w:lang w:val="de-DE"/>
        </w:rPr>
      </w:pPr>
      <w:r w:rsidRPr="005F10A8">
        <w:rPr>
          <w:rFonts w:eastAsia="Century Gothic" w:cs="Century Gothic"/>
          <w:szCs w:val="20"/>
          <w:lang w:val="de-DE"/>
        </w:rPr>
        <w:lastRenderedPageBreak/>
        <w:t>Liefertermine eingehalten und Abweichungen frühzeitig kommuniziert werden</w:t>
      </w:r>
    </w:p>
    <w:p w14:paraId="4C98488A" w14:textId="77777777" w:rsidR="005F10A8" w:rsidRPr="005F10A8" w:rsidRDefault="005F10A8">
      <w:pPr>
        <w:numPr>
          <w:ilvl w:val="0"/>
          <w:numId w:val="4"/>
        </w:numPr>
        <w:rPr>
          <w:rFonts w:eastAsia="Century Gothic" w:cs="Century Gothic"/>
          <w:szCs w:val="20"/>
          <w:lang w:val="de-DE"/>
        </w:rPr>
      </w:pPr>
      <w:r w:rsidRPr="005F10A8">
        <w:rPr>
          <w:rFonts w:eastAsia="Century Gothic" w:cs="Century Gothic"/>
          <w:szCs w:val="20"/>
          <w:lang w:val="de-DE"/>
        </w:rPr>
        <w:t>Anlieferzustand, Sauberkeit und Verpackung den SMB-Vorgaben entsprechen</w:t>
      </w:r>
    </w:p>
    <w:p w14:paraId="6B859504" w14:textId="77777777" w:rsidR="00827C68" w:rsidRPr="00827C68" w:rsidRDefault="00827C68">
      <w:pPr>
        <w:numPr>
          <w:ilvl w:val="0"/>
          <w:numId w:val="4"/>
        </w:numPr>
        <w:rPr>
          <w:rFonts w:eastAsia="Century Gothic" w:cs="Century Gothic"/>
          <w:szCs w:val="20"/>
          <w:lang w:val="de-DE"/>
        </w:rPr>
      </w:pPr>
      <w:r w:rsidRPr="00827C68">
        <w:rPr>
          <w:rFonts w:eastAsia="Century Gothic" w:cs="Century Gothic"/>
          <w:szCs w:val="20"/>
        </w:rPr>
        <w:t>Qualitätsdokumentation vollständig, nachvollziehbar und strukturiert übermittelt wird</w:t>
      </w:r>
    </w:p>
    <w:p w14:paraId="38176128" w14:textId="3B7751B0" w:rsidR="005F10A8" w:rsidRPr="005F10A8" w:rsidRDefault="005F10A8">
      <w:pPr>
        <w:numPr>
          <w:ilvl w:val="0"/>
          <w:numId w:val="4"/>
        </w:numPr>
        <w:rPr>
          <w:rFonts w:eastAsia="Century Gothic" w:cs="Century Gothic"/>
          <w:szCs w:val="20"/>
          <w:lang w:val="de-DE"/>
        </w:rPr>
      </w:pPr>
      <w:r w:rsidRPr="005F10A8">
        <w:rPr>
          <w:rFonts w:eastAsia="Century Gothic" w:cs="Century Gothic"/>
          <w:szCs w:val="20"/>
          <w:lang w:val="de-DE"/>
        </w:rPr>
        <w:t>Lieferanten strukturiert bewertet und weiterentwickelt werden können</w:t>
      </w:r>
    </w:p>
    <w:p w14:paraId="73F7148B" w14:textId="77777777" w:rsidR="005F10A8" w:rsidRPr="005F10A8" w:rsidRDefault="005F10A8">
      <w:pPr>
        <w:numPr>
          <w:ilvl w:val="0"/>
          <w:numId w:val="4"/>
        </w:numPr>
        <w:rPr>
          <w:rFonts w:eastAsia="Century Gothic" w:cs="Century Gothic"/>
          <w:szCs w:val="20"/>
          <w:lang w:val="de-DE"/>
        </w:rPr>
      </w:pPr>
      <w:r w:rsidRPr="005F10A8">
        <w:rPr>
          <w:rFonts w:eastAsia="Century Gothic" w:cs="Century Gothic"/>
          <w:szCs w:val="20"/>
          <w:lang w:val="de-DE"/>
        </w:rPr>
        <w:t>Umwelt-, Sicherheits- und Nachhaltigkeitsanforderungen entlang der Lieferkette eingehalten werden</w:t>
      </w:r>
    </w:p>
    <w:p w14:paraId="2CABCB3E" w14:textId="7145799E" w:rsidR="00131E41" w:rsidRPr="005F10A8" w:rsidRDefault="00131E41" w:rsidP="0A5FACF1">
      <w:pPr>
        <w:rPr>
          <w:lang w:val="de-DE"/>
        </w:rPr>
      </w:pPr>
      <w:r w:rsidRPr="005F10A8">
        <w:rPr>
          <w:rFonts w:eastAsia="Century Gothic" w:cs="Century Gothic"/>
          <w:szCs w:val="20"/>
          <w:lang w:val="de-DE"/>
        </w:rPr>
        <w:t xml:space="preserve"> </w:t>
      </w:r>
    </w:p>
    <w:p w14:paraId="782C4550" w14:textId="37758883" w:rsidR="00131E41" w:rsidRDefault="00131E41" w:rsidP="0A5FACF1">
      <w:pPr>
        <w:pStyle w:val="berschrift2"/>
        <w:spacing w:before="0" w:after="0"/>
        <w:rPr>
          <w:rFonts w:eastAsia="Century Gothic" w:cs="Century Gothic"/>
          <w:szCs w:val="24"/>
          <w:lang w:val="de-AT"/>
        </w:rPr>
      </w:pPr>
      <w:bookmarkStart w:id="4" w:name="_Toc222211229"/>
      <w:r w:rsidRPr="0A5FACF1">
        <w:rPr>
          <w:rFonts w:eastAsia="Century Gothic" w:cs="Century Gothic"/>
          <w:szCs w:val="24"/>
          <w:lang w:val="de-AT"/>
        </w:rPr>
        <w:t>Mitgeltende Dokumente</w:t>
      </w:r>
      <w:bookmarkEnd w:id="4"/>
    </w:p>
    <w:p w14:paraId="29656253" w14:textId="77777777" w:rsidR="00617434" w:rsidRPr="00335BE8" w:rsidRDefault="00617434" w:rsidP="00617434">
      <w:pPr>
        <w:jc w:val="left"/>
        <w:rPr>
          <w:lang w:val="de-DE"/>
        </w:rPr>
      </w:pPr>
      <w:r w:rsidRPr="00335BE8">
        <w:rPr>
          <w:lang w:val="de-DE"/>
        </w:rPr>
        <w:t>Folgende Dokumente gelten als verbindliche Grundlage der Zusammenarbeit und sind in ihrer jeweils gültigen Fassung zu berücksichtigen:</w:t>
      </w:r>
    </w:p>
    <w:p w14:paraId="3179D861" w14:textId="77777777" w:rsidR="00617434" w:rsidRPr="00335BE8" w:rsidRDefault="00617434">
      <w:pPr>
        <w:numPr>
          <w:ilvl w:val="0"/>
          <w:numId w:val="8"/>
        </w:numPr>
        <w:jc w:val="left"/>
        <w:rPr>
          <w:lang w:val="de-DE"/>
        </w:rPr>
      </w:pPr>
      <w:r w:rsidRPr="00335BE8">
        <w:rPr>
          <w:lang w:val="de-DE"/>
        </w:rPr>
        <w:t xml:space="preserve">Allgemeine Einkaufsbedingungen (AEB) der SMB-Gruppe </w:t>
      </w:r>
    </w:p>
    <w:p w14:paraId="2A6EDAC7" w14:textId="77777777" w:rsidR="00617434" w:rsidRPr="00335BE8" w:rsidRDefault="00617434">
      <w:pPr>
        <w:numPr>
          <w:ilvl w:val="0"/>
          <w:numId w:val="8"/>
        </w:numPr>
        <w:jc w:val="left"/>
        <w:rPr>
          <w:lang w:val="de-DE"/>
        </w:rPr>
      </w:pPr>
      <w:r w:rsidRPr="00335BE8">
        <w:rPr>
          <w:lang w:val="de-DE"/>
        </w:rPr>
        <w:t xml:space="preserve">SMB-Liefervorschrift „Anlieferzustand &amp; Sauberkeit“ </w:t>
      </w:r>
    </w:p>
    <w:p w14:paraId="79CBE074" w14:textId="77777777" w:rsidR="00617434" w:rsidRPr="00335BE8" w:rsidRDefault="00617434">
      <w:pPr>
        <w:numPr>
          <w:ilvl w:val="0"/>
          <w:numId w:val="8"/>
        </w:numPr>
        <w:jc w:val="left"/>
        <w:rPr>
          <w:lang w:val="de-DE"/>
        </w:rPr>
      </w:pPr>
      <w:r w:rsidRPr="00335BE8">
        <w:rPr>
          <w:lang w:val="de-DE"/>
        </w:rPr>
        <w:t xml:space="preserve">SMB Supplier Code of Conduct </w:t>
      </w:r>
    </w:p>
    <w:p w14:paraId="1D6EAC04" w14:textId="77777777" w:rsidR="00617434" w:rsidRPr="00335BE8" w:rsidRDefault="00617434">
      <w:pPr>
        <w:numPr>
          <w:ilvl w:val="0"/>
          <w:numId w:val="8"/>
        </w:numPr>
        <w:jc w:val="left"/>
        <w:rPr>
          <w:lang w:val="de-DE"/>
        </w:rPr>
      </w:pPr>
      <w:r w:rsidRPr="00335BE8">
        <w:rPr>
          <w:lang w:val="de-DE"/>
        </w:rPr>
        <w:t xml:space="preserve">projektspezifische Zusatzanforderungen </w:t>
      </w:r>
    </w:p>
    <w:p w14:paraId="39C9E241" w14:textId="77777777" w:rsidR="00617434" w:rsidRPr="00335BE8" w:rsidRDefault="00617434">
      <w:pPr>
        <w:numPr>
          <w:ilvl w:val="0"/>
          <w:numId w:val="8"/>
        </w:numPr>
        <w:jc w:val="left"/>
        <w:rPr>
          <w:lang w:val="de-DE"/>
        </w:rPr>
      </w:pPr>
      <w:r w:rsidRPr="00335BE8">
        <w:rPr>
          <w:lang w:val="de-DE"/>
        </w:rPr>
        <w:t>Sicherheits- und Umweltschutzrichtlinien bei Tätigkeiten im SMB-Montage-, Projekt- oder Baustellenumfeld</w:t>
      </w:r>
    </w:p>
    <w:p w14:paraId="6FE723D2" w14:textId="22939661" w:rsidR="00D910C2" w:rsidRPr="00617434" w:rsidRDefault="00D910C2" w:rsidP="008B1A2B">
      <w:pPr>
        <w:ind w:left="720"/>
        <w:jc w:val="left"/>
        <w:rPr>
          <w:rFonts w:eastAsia="Century Gothic" w:cs="Century Gothic"/>
          <w:szCs w:val="20"/>
          <w:lang w:val="de-DE"/>
        </w:rPr>
      </w:pPr>
    </w:p>
    <w:p w14:paraId="3099FB6B" w14:textId="5FF58BDE" w:rsidR="00D910C2" w:rsidRPr="00D910C2" w:rsidRDefault="00D910C2" w:rsidP="00D910C2">
      <w:pPr>
        <w:pStyle w:val="berschrift2"/>
        <w:spacing w:before="0" w:after="0"/>
        <w:ind w:left="578" w:hanging="578"/>
        <w:rPr>
          <w:rFonts w:eastAsia="Century Gothic" w:cs="Century Gothic"/>
          <w:szCs w:val="24"/>
          <w:lang w:val="de-AT"/>
        </w:rPr>
      </w:pPr>
      <w:bookmarkStart w:id="5" w:name="_Toc222211230"/>
      <w:r w:rsidRPr="00D910C2">
        <w:rPr>
          <w:rFonts w:eastAsia="Century Gothic" w:cs="Century Gothic"/>
          <w:szCs w:val="24"/>
          <w:lang w:val="de-AT"/>
        </w:rPr>
        <w:t>Geltungsbereich</w:t>
      </w:r>
      <w:bookmarkEnd w:id="5"/>
    </w:p>
    <w:p w14:paraId="45298174" w14:textId="77777777" w:rsidR="006936E9" w:rsidRPr="00335BE8" w:rsidRDefault="006936E9" w:rsidP="006936E9">
      <w:pPr>
        <w:rPr>
          <w:rFonts w:eastAsia="Century Gothic" w:cs="Century Gothic"/>
          <w:szCs w:val="20"/>
          <w:lang w:val="de-DE"/>
        </w:rPr>
      </w:pPr>
      <w:r w:rsidRPr="00335BE8">
        <w:rPr>
          <w:rFonts w:eastAsia="Century Gothic" w:cs="Century Gothic"/>
          <w:szCs w:val="20"/>
          <w:lang w:val="de-DE"/>
        </w:rPr>
        <w:t>Diese Qualitätssicherungsvereinbarung gilt für alle Lieferanten, welche qualitätsrelevante Produkte, Komponenten, Baugruppen, Materialien oder Dienstleistungen an SMB liefern.</w:t>
      </w:r>
    </w:p>
    <w:p w14:paraId="64580CEA" w14:textId="77777777" w:rsidR="006936E9" w:rsidRPr="00335BE8" w:rsidRDefault="006936E9" w:rsidP="006936E9">
      <w:pPr>
        <w:rPr>
          <w:rFonts w:eastAsia="Century Gothic" w:cs="Century Gothic"/>
          <w:szCs w:val="20"/>
          <w:lang w:val="de-DE"/>
        </w:rPr>
      </w:pPr>
      <w:r w:rsidRPr="00335BE8">
        <w:rPr>
          <w:rFonts w:eastAsia="Century Gothic" w:cs="Century Gothic"/>
          <w:szCs w:val="20"/>
          <w:lang w:val="de-DE"/>
        </w:rPr>
        <w:t>Die QSV gilt insbesondere für:</w:t>
      </w:r>
    </w:p>
    <w:p w14:paraId="20F45BAE" w14:textId="77777777" w:rsidR="006936E9" w:rsidRPr="00335BE8" w:rsidRDefault="006936E9">
      <w:pPr>
        <w:numPr>
          <w:ilvl w:val="0"/>
          <w:numId w:val="13"/>
        </w:numPr>
        <w:rPr>
          <w:rFonts w:eastAsia="Century Gothic" w:cs="Century Gothic"/>
          <w:szCs w:val="20"/>
          <w:lang w:val="de-DE"/>
        </w:rPr>
      </w:pPr>
      <w:r w:rsidRPr="00335BE8">
        <w:rPr>
          <w:rFonts w:eastAsia="Century Gothic" w:cs="Century Gothic"/>
          <w:szCs w:val="20"/>
          <w:lang w:val="de-DE"/>
        </w:rPr>
        <w:t>projektbezogene Lieferungen</w:t>
      </w:r>
    </w:p>
    <w:p w14:paraId="596DE08D" w14:textId="77777777" w:rsidR="006936E9" w:rsidRPr="00335BE8" w:rsidRDefault="006936E9">
      <w:pPr>
        <w:numPr>
          <w:ilvl w:val="0"/>
          <w:numId w:val="13"/>
        </w:numPr>
        <w:rPr>
          <w:rFonts w:eastAsia="Century Gothic" w:cs="Century Gothic"/>
          <w:szCs w:val="20"/>
          <w:lang w:val="de-DE"/>
        </w:rPr>
      </w:pPr>
      <w:r w:rsidRPr="00335BE8">
        <w:rPr>
          <w:rFonts w:eastAsia="Century Gothic" w:cs="Century Gothic"/>
          <w:szCs w:val="20"/>
          <w:lang w:val="de-DE"/>
        </w:rPr>
        <w:t>Baugruppen</w:t>
      </w:r>
    </w:p>
    <w:p w14:paraId="674C5FDB" w14:textId="77777777" w:rsidR="006936E9" w:rsidRPr="00335BE8" w:rsidRDefault="006936E9">
      <w:pPr>
        <w:numPr>
          <w:ilvl w:val="0"/>
          <w:numId w:val="13"/>
        </w:numPr>
        <w:rPr>
          <w:rFonts w:eastAsia="Century Gothic" w:cs="Century Gothic"/>
          <w:szCs w:val="20"/>
          <w:lang w:val="de-DE"/>
        </w:rPr>
      </w:pPr>
      <w:r w:rsidRPr="00335BE8">
        <w:rPr>
          <w:rFonts w:eastAsia="Century Gothic" w:cs="Century Gothic"/>
          <w:szCs w:val="20"/>
          <w:lang w:val="de-DE"/>
        </w:rPr>
        <w:t>Skids</w:t>
      </w:r>
    </w:p>
    <w:p w14:paraId="78063E34" w14:textId="77777777" w:rsidR="006936E9" w:rsidRPr="00335BE8" w:rsidRDefault="006936E9">
      <w:pPr>
        <w:numPr>
          <w:ilvl w:val="0"/>
          <w:numId w:val="13"/>
        </w:numPr>
        <w:rPr>
          <w:rFonts w:eastAsia="Century Gothic" w:cs="Century Gothic"/>
          <w:szCs w:val="20"/>
          <w:lang w:val="de-DE"/>
        </w:rPr>
      </w:pPr>
      <w:r w:rsidRPr="00335BE8">
        <w:rPr>
          <w:rFonts w:eastAsia="Century Gothic" w:cs="Century Gothic"/>
          <w:szCs w:val="20"/>
          <w:lang w:val="de-DE"/>
        </w:rPr>
        <w:t>Bulk- und Non-Bulk-Materialien</w:t>
      </w:r>
    </w:p>
    <w:p w14:paraId="228D5571" w14:textId="77777777" w:rsidR="006936E9" w:rsidRPr="00335BE8" w:rsidRDefault="006936E9">
      <w:pPr>
        <w:numPr>
          <w:ilvl w:val="0"/>
          <w:numId w:val="13"/>
        </w:numPr>
        <w:rPr>
          <w:rFonts w:eastAsia="Century Gothic" w:cs="Century Gothic"/>
          <w:szCs w:val="20"/>
          <w:lang w:val="de-DE"/>
        </w:rPr>
      </w:pPr>
      <w:r w:rsidRPr="00335BE8">
        <w:rPr>
          <w:rFonts w:eastAsia="Century Gothic" w:cs="Century Gothic"/>
          <w:szCs w:val="20"/>
          <w:lang w:val="de-DE"/>
        </w:rPr>
        <w:t>qualitätsrelevante Dienstleistungen</w:t>
      </w:r>
    </w:p>
    <w:p w14:paraId="23138FF7" w14:textId="77777777" w:rsidR="006936E9" w:rsidRPr="006936E9" w:rsidRDefault="006936E9" w:rsidP="006936E9">
      <w:pPr>
        <w:rPr>
          <w:rFonts w:eastAsia="Century Gothic" w:cs="Century Gothic"/>
          <w:szCs w:val="20"/>
          <w:lang w:val="de-DE"/>
        </w:rPr>
      </w:pPr>
      <w:r w:rsidRPr="00335BE8">
        <w:rPr>
          <w:rFonts w:eastAsia="Century Gothic" w:cs="Century Gothic"/>
          <w:szCs w:val="20"/>
          <w:lang w:val="de-DE"/>
        </w:rPr>
        <w:t>Die Anwendung dieser QSV erfolgt, sofern in Bestellungen, Rahmenvereinbarungen, Lieferantenfreigaben oder ergänzenden Vereinbarungen auf diese verwiesen wird.</w:t>
      </w:r>
    </w:p>
    <w:p w14:paraId="124D1462" w14:textId="16345869" w:rsidR="00131E41" w:rsidRPr="00646F60" w:rsidRDefault="00131E41" w:rsidP="0A5FACF1">
      <w:pPr>
        <w:rPr>
          <w:lang w:val="de-DE"/>
        </w:rPr>
      </w:pPr>
    </w:p>
    <w:p w14:paraId="3D3B03B1" w14:textId="77777777" w:rsidR="00C965B3" w:rsidRPr="00C965B3" w:rsidRDefault="00C965B3" w:rsidP="00253C41">
      <w:pPr>
        <w:pStyle w:val="berschrift1"/>
        <w:spacing w:before="0" w:after="0"/>
        <w:ind w:left="431" w:hanging="431"/>
        <w:rPr>
          <w:rFonts w:eastAsia="Century Gothic" w:cs="Century Gothic"/>
          <w:szCs w:val="24"/>
          <w:lang w:val="de-AT"/>
        </w:rPr>
      </w:pPr>
      <w:bookmarkStart w:id="6" w:name="_Toc222211231"/>
      <w:r w:rsidRPr="00C965B3">
        <w:rPr>
          <w:rFonts w:eastAsia="Century Gothic" w:cs="Century Gothic"/>
          <w:szCs w:val="24"/>
          <w:lang w:val="de-AT"/>
        </w:rPr>
        <w:t>Verantwortung des Lieferanten</w:t>
      </w:r>
      <w:bookmarkEnd w:id="6"/>
      <w:r w:rsidRPr="00C965B3">
        <w:rPr>
          <w:rFonts w:eastAsia="Century Gothic" w:cs="Century Gothic"/>
          <w:szCs w:val="24"/>
          <w:lang w:val="de-AT"/>
        </w:rPr>
        <w:t xml:space="preserve"> </w:t>
      </w:r>
    </w:p>
    <w:p w14:paraId="4A7B89F7" w14:textId="77777777" w:rsidR="006936E9" w:rsidRPr="00335BE8" w:rsidRDefault="006936E9" w:rsidP="006936E9">
      <w:pPr>
        <w:rPr>
          <w:lang w:val="de-DE"/>
        </w:rPr>
      </w:pPr>
      <w:r w:rsidRPr="00335BE8">
        <w:rPr>
          <w:lang w:val="de-DE"/>
        </w:rPr>
        <w:t>Der Lieferant ist vollumfänglich verantwortlich für:</w:t>
      </w:r>
    </w:p>
    <w:p w14:paraId="00689503" w14:textId="37D7C122" w:rsidR="006936E9" w:rsidRPr="00335BE8" w:rsidRDefault="006936E9" w:rsidP="006936E9">
      <w:pPr>
        <w:rPr>
          <w:lang w:val="de-DE"/>
        </w:rPr>
      </w:pPr>
      <w:r w:rsidRPr="00335BE8">
        <w:rPr>
          <w:lang w:val="de-DE"/>
        </w:rPr>
        <w:t>- die Einhaltung aller technischen Anforderungen gemäß Bestellung,</w:t>
      </w:r>
    </w:p>
    <w:p w14:paraId="4729441E" w14:textId="3C852FAB" w:rsidR="006936E9" w:rsidRPr="00335BE8" w:rsidRDefault="006936E9" w:rsidP="006936E9">
      <w:pPr>
        <w:rPr>
          <w:lang w:val="de-DE"/>
        </w:rPr>
      </w:pPr>
      <w:r w:rsidRPr="00335BE8">
        <w:rPr>
          <w:lang w:val="de-DE"/>
        </w:rPr>
        <w:t>- die Qualität seiner Produkte und Dienstleistungen,</w:t>
      </w:r>
    </w:p>
    <w:p w14:paraId="15271D4D" w14:textId="1971B381" w:rsidR="006936E9" w:rsidRPr="00335BE8" w:rsidRDefault="006936E9" w:rsidP="006936E9">
      <w:pPr>
        <w:rPr>
          <w:lang w:val="de-DE"/>
        </w:rPr>
      </w:pPr>
      <w:r w:rsidRPr="00335BE8">
        <w:rPr>
          <w:lang w:val="de-DE"/>
        </w:rPr>
        <w:t>- die Qualität seiner Unterauftragnehmer,</w:t>
      </w:r>
    </w:p>
    <w:p w14:paraId="189BD224" w14:textId="31DD314F" w:rsidR="006936E9" w:rsidRPr="00335BE8" w:rsidRDefault="006936E9" w:rsidP="006936E9">
      <w:pPr>
        <w:rPr>
          <w:lang w:val="de-DE"/>
        </w:rPr>
      </w:pPr>
      <w:r w:rsidRPr="00335BE8">
        <w:rPr>
          <w:lang w:val="de-DE"/>
        </w:rPr>
        <w:t>- die Einhaltung gesetzlicher Anforderungen,</w:t>
      </w:r>
    </w:p>
    <w:p w14:paraId="0BA94862" w14:textId="77777777" w:rsidR="006936E9" w:rsidRPr="00335BE8" w:rsidRDefault="006936E9" w:rsidP="006936E9">
      <w:pPr>
        <w:rPr>
          <w:lang w:val="de-DE"/>
        </w:rPr>
      </w:pPr>
      <w:r w:rsidRPr="00335BE8">
        <w:rPr>
          <w:lang w:val="de-DE"/>
        </w:rPr>
        <w:t>sowie die Einhaltung der vertraglich vereinbarten SMB-Anforderungen, Spezifikationen und mitgeltenden Dokumente.</w:t>
      </w:r>
    </w:p>
    <w:p w14:paraId="4F049620" w14:textId="2F21CDE4" w:rsidR="004F6AC0" w:rsidRDefault="00D5775A" w:rsidP="006936E9">
      <w:r w:rsidRPr="00335BE8">
        <w:t>Die Verantwortung des Lieferanten für vereinbarte Qualitätsanforderungen, Dokumentation und spezifikationskonforme Lieferung bleibt von dem Gefahrenübergang unberührt.</w:t>
      </w:r>
    </w:p>
    <w:p w14:paraId="03072CA8" w14:textId="77777777" w:rsidR="00D5775A" w:rsidRPr="006936E9" w:rsidRDefault="00D5775A" w:rsidP="006936E9">
      <w:pPr>
        <w:rPr>
          <w:lang w:val="de-DE"/>
        </w:rPr>
      </w:pPr>
    </w:p>
    <w:p w14:paraId="771189FD" w14:textId="7FF0B406" w:rsidR="00500A0B" w:rsidRDefault="00DB61EC" w:rsidP="00C35C40">
      <w:pPr>
        <w:pStyle w:val="berschrift2"/>
        <w:spacing w:before="0" w:after="0"/>
        <w:ind w:left="578" w:hanging="578"/>
        <w:rPr>
          <w:rFonts w:eastAsia="Century Gothic" w:cs="Century Gothic"/>
          <w:szCs w:val="20"/>
          <w:lang w:val="en-US"/>
        </w:rPr>
      </w:pPr>
      <w:bookmarkStart w:id="7" w:name="_Toc222211232"/>
      <w:r w:rsidRPr="00C35C40">
        <w:rPr>
          <w:rFonts w:eastAsia="Century Gothic" w:cs="Century Gothic"/>
          <w:szCs w:val="24"/>
          <w:lang w:val="de-AT"/>
        </w:rPr>
        <w:t>Managementsysteme</w:t>
      </w:r>
      <w:bookmarkEnd w:id="7"/>
      <w:r w:rsidRPr="0A5FACF1">
        <w:rPr>
          <w:rFonts w:eastAsia="Century Gothic" w:cs="Century Gothic"/>
          <w:szCs w:val="20"/>
          <w:lang w:val="en-US"/>
        </w:rPr>
        <w:t xml:space="preserve"> </w:t>
      </w:r>
    </w:p>
    <w:p w14:paraId="34BCDEF8" w14:textId="4CC2A2E4" w:rsidR="006936E9" w:rsidRPr="00335BE8" w:rsidRDefault="0088014C" w:rsidP="006936E9">
      <w:pPr>
        <w:rPr>
          <w:lang w:val="de-DE"/>
        </w:rPr>
      </w:pPr>
      <w:r w:rsidRPr="00335BE8">
        <w:rPr>
          <w:lang w:val="de-DE"/>
        </w:rPr>
        <w:t>Der Lieferant muss über ein funktionierendes Qualitätsmanagementsystem gemäß ISO 9001 oder einem gleichwertigen Standard verfügen. Eine Zertifizierung ist erwünscht, jedoch keine zwingende Voraussetzung.</w:t>
      </w:r>
    </w:p>
    <w:p w14:paraId="793EB746" w14:textId="4BC319E3" w:rsidR="0088014C" w:rsidRPr="00335BE8" w:rsidRDefault="0088014C" w:rsidP="0088014C">
      <w:pPr>
        <w:rPr>
          <w:lang w:val="de-DE"/>
        </w:rPr>
      </w:pPr>
      <w:r w:rsidRPr="00335BE8">
        <w:rPr>
          <w:lang w:val="de-DE"/>
        </w:rPr>
        <w:t xml:space="preserve">Für schweißtechnische Leistungen gelten, </w:t>
      </w:r>
      <w:r w:rsidRPr="00335BE8">
        <w:rPr>
          <w:u w:val="single"/>
          <w:lang w:val="de-DE"/>
        </w:rPr>
        <w:t>sofern zutreffend</w:t>
      </w:r>
      <w:r w:rsidRPr="00335BE8">
        <w:rPr>
          <w:lang w:val="de-DE"/>
        </w:rPr>
        <w:t>, die Anforderungen gemäß EN ISO 3834 und EN 1090.</w:t>
      </w:r>
    </w:p>
    <w:p w14:paraId="7609E76F" w14:textId="568BAAD8" w:rsidR="0088014C" w:rsidRPr="0088014C" w:rsidRDefault="0088014C" w:rsidP="0088014C">
      <w:pPr>
        <w:rPr>
          <w:lang w:val="de-DE"/>
        </w:rPr>
      </w:pPr>
      <w:r w:rsidRPr="00335BE8">
        <w:rPr>
          <w:lang w:val="de-DE"/>
        </w:rPr>
        <w:t>Der Lieferant verpflichtet sich</w:t>
      </w:r>
      <w:r w:rsidR="00F92D69" w:rsidRPr="00335BE8">
        <w:rPr>
          <w:lang w:val="de-DE"/>
        </w:rPr>
        <w:t>,</w:t>
      </w:r>
      <w:r w:rsidRPr="00335BE8">
        <w:rPr>
          <w:lang w:val="de-DE"/>
        </w:rPr>
        <w:t xml:space="preserve"> zur kontinuierlichen Verbesserung seiner Prozesse.</w:t>
      </w:r>
    </w:p>
    <w:p w14:paraId="136FA3C9" w14:textId="01D07FAD" w:rsidR="0A5FACF1" w:rsidRPr="0088014C" w:rsidRDefault="0A5FACF1" w:rsidP="0A5FACF1">
      <w:pPr>
        <w:rPr>
          <w:rFonts w:eastAsia="Century Gothic" w:cs="Century Gothic"/>
          <w:szCs w:val="20"/>
          <w:lang w:val="de-DE"/>
        </w:rPr>
      </w:pPr>
    </w:p>
    <w:p w14:paraId="28B57E4B" w14:textId="3BD3FEDA" w:rsidR="002C533A" w:rsidRPr="00FA720B" w:rsidRDefault="00253C41" w:rsidP="00253C41">
      <w:pPr>
        <w:pStyle w:val="berschrift2"/>
        <w:spacing w:before="0" w:after="0"/>
        <w:ind w:left="578" w:hanging="578"/>
        <w:rPr>
          <w:rFonts w:eastAsia="Century Gothic" w:cs="Century Gothic"/>
          <w:szCs w:val="24"/>
          <w:lang w:val="de-AT"/>
        </w:rPr>
      </w:pPr>
      <w:bookmarkStart w:id="8" w:name="_Toc222211233"/>
      <w:r w:rsidRPr="00FA720B">
        <w:rPr>
          <w:rFonts w:eastAsia="Century Gothic" w:cs="Century Gothic"/>
          <w:szCs w:val="24"/>
          <w:lang w:val="de-AT"/>
        </w:rPr>
        <w:t>Technische Anforderungen</w:t>
      </w:r>
      <w:bookmarkEnd w:id="8"/>
    </w:p>
    <w:p w14:paraId="6CC3A68E" w14:textId="77777777" w:rsidR="00617434" w:rsidRPr="00FA720B" w:rsidRDefault="00617434" w:rsidP="00617434">
      <w:pPr>
        <w:rPr>
          <w:lang w:val="de-DE"/>
        </w:rPr>
      </w:pPr>
      <w:r w:rsidRPr="00FA720B">
        <w:rPr>
          <w:lang w:val="de-DE"/>
        </w:rPr>
        <w:t>Die technischen Anforderungen ergeben sich aus:</w:t>
      </w:r>
    </w:p>
    <w:p w14:paraId="28D978B8" w14:textId="77777777" w:rsidR="00617434" w:rsidRPr="00FA720B" w:rsidRDefault="00617434">
      <w:pPr>
        <w:numPr>
          <w:ilvl w:val="0"/>
          <w:numId w:val="9"/>
        </w:numPr>
        <w:rPr>
          <w:lang w:val="de-DE"/>
        </w:rPr>
      </w:pPr>
      <w:r w:rsidRPr="00FA720B">
        <w:rPr>
          <w:lang w:val="de-DE"/>
        </w:rPr>
        <w:t xml:space="preserve">der Bestellung, </w:t>
      </w:r>
    </w:p>
    <w:p w14:paraId="39F8EA4F" w14:textId="77777777" w:rsidR="00617434" w:rsidRPr="00FA720B" w:rsidRDefault="00617434">
      <w:pPr>
        <w:numPr>
          <w:ilvl w:val="0"/>
          <w:numId w:val="9"/>
        </w:numPr>
        <w:rPr>
          <w:lang w:val="de-DE"/>
        </w:rPr>
      </w:pPr>
      <w:r w:rsidRPr="00FA720B">
        <w:rPr>
          <w:lang w:val="de-DE"/>
        </w:rPr>
        <w:t xml:space="preserve">freigegebenen Zeichnungen, </w:t>
      </w:r>
    </w:p>
    <w:p w14:paraId="1D41ACC5" w14:textId="77777777" w:rsidR="00617434" w:rsidRPr="00FA720B" w:rsidRDefault="00617434">
      <w:pPr>
        <w:numPr>
          <w:ilvl w:val="0"/>
          <w:numId w:val="9"/>
        </w:numPr>
        <w:rPr>
          <w:lang w:val="de-DE"/>
        </w:rPr>
      </w:pPr>
      <w:r w:rsidRPr="00FA720B">
        <w:rPr>
          <w:lang w:val="de-DE"/>
        </w:rPr>
        <w:t xml:space="preserve">technischen Spezifikationen, </w:t>
      </w:r>
    </w:p>
    <w:p w14:paraId="7B8DD3C2" w14:textId="77777777" w:rsidR="00617434" w:rsidRPr="00FA720B" w:rsidRDefault="00617434">
      <w:pPr>
        <w:numPr>
          <w:ilvl w:val="0"/>
          <w:numId w:val="9"/>
        </w:numPr>
        <w:rPr>
          <w:lang w:val="de-DE"/>
        </w:rPr>
      </w:pPr>
      <w:r w:rsidRPr="00FA720B">
        <w:rPr>
          <w:lang w:val="de-DE"/>
        </w:rPr>
        <w:t xml:space="preserve">Datenblättern, </w:t>
      </w:r>
    </w:p>
    <w:p w14:paraId="0B01C3A6" w14:textId="77777777" w:rsidR="00617434" w:rsidRPr="00FA720B" w:rsidRDefault="00617434">
      <w:pPr>
        <w:numPr>
          <w:ilvl w:val="0"/>
          <w:numId w:val="9"/>
        </w:numPr>
        <w:rPr>
          <w:lang w:val="de-DE"/>
        </w:rPr>
      </w:pPr>
      <w:r w:rsidRPr="00FA720B">
        <w:rPr>
          <w:lang w:val="de-DE"/>
        </w:rPr>
        <w:t xml:space="preserve">projektspezifischen Anforderungen, </w:t>
      </w:r>
    </w:p>
    <w:p w14:paraId="5DBB68AE" w14:textId="77777777" w:rsidR="00617434" w:rsidRPr="00FA720B" w:rsidRDefault="00617434">
      <w:pPr>
        <w:numPr>
          <w:ilvl w:val="0"/>
          <w:numId w:val="9"/>
        </w:numPr>
        <w:rPr>
          <w:lang w:val="de-DE"/>
        </w:rPr>
      </w:pPr>
      <w:r w:rsidRPr="00FA720B">
        <w:rPr>
          <w:lang w:val="de-DE"/>
        </w:rPr>
        <w:t xml:space="preserve">sowie ausdrücklich vereinbarten Zusatzanforderungen. </w:t>
      </w:r>
    </w:p>
    <w:p w14:paraId="79ABCFF2" w14:textId="77777777" w:rsidR="00617434" w:rsidRPr="00FA720B" w:rsidRDefault="00617434" w:rsidP="00617434">
      <w:pPr>
        <w:rPr>
          <w:lang w:val="de-DE"/>
        </w:rPr>
      </w:pPr>
      <w:r w:rsidRPr="00FA720B">
        <w:rPr>
          <w:lang w:val="de-DE"/>
        </w:rPr>
        <w:lastRenderedPageBreak/>
        <w:t>Abweichungen davon bedürfen der schriftlichen Freigabe durch SMB.</w:t>
      </w:r>
    </w:p>
    <w:p w14:paraId="20A662A5" w14:textId="77777777" w:rsidR="00D816C5" w:rsidRPr="00FA720B" w:rsidRDefault="00D816C5" w:rsidP="00331F11">
      <w:pPr>
        <w:rPr>
          <w:lang w:val="de-DE"/>
        </w:rPr>
      </w:pPr>
    </w:p>
    <w:p w14:paraId="0CBECEA2" w14:textId="3E7CBBD0" w:rsidR="00331F11" w:rsidRPr="00FA720B" w:rsidRDefault="00D816C5" w:rsidP="00D816C5">
      <w:pPr>
        <w:pStyle w:val="berschrift2"/>
        <w:spacing w:before="0" w:after="0"/>
        <w:ind w:left="578" w:hanging="578"/>
        <w:rPr>
          <w:rFonts w:eastAsia="Century Gothic" w:cs="Century Gothic"/>
          <w:szCs w:val="24"/>
          <w:lang w:val="de-AT"/>
        </w:rPr>
      </w:pPr>
      <w:bookmarkStart w:id="9" w:name="_Toc222211234"/>
      <w:r w:rsidRPr="00FA720B">
        <w:rPr>
          <w:rFonts w:eastAsia="Century Gothic" w:cs="Century Gothic"/>
          <w:szCs w:val="24"/>
          <w:lang w:val="de-AT"/>
        </w:rPr>
        <w:t>Planung, Prüfung und Dokumentation</w:t>
      </w:r>
      <w:bookmarkEnd w:id="9"/>
    </w:p>
    <w:p w14:paraId="273E9546" w14:textId="77777777" w:rsidR="00617434" w:rsidRPr="00FA720B" w:rsidRDefault="00617434" w:rsidP="00617434">
      <w:pPr>
        <w:rPr>
          <w:lang w:val="de-DE"/>
        </w:rPr>
      </w:pPr>
      <w:r w:rsidRPr="00FA720B">
        <w:rPr>
          <w:lang w:val="de-DE"/>
        </w:rPr>
        <w:t>Der Lieferant hat sicherzustellen, dass:</w:t>
      </w:r>
    </w:p>
    <w:p w14:paraId="26F17413" w14:textId="77777777" w:rsidR="00617434" w:rsidRPr="00FA720B" w:rsidRDefault="00617434">
      <w:pPr>
        <w:numPr>
          <w:ilvl w:val="0"/>
          <w:numId w:val="10"/>
        </w:numPr>
        <w:rPr>
          <w:lang w:val="de-DE"/>
        </w:rPr>
      </w:pPr>
      <w:r w:rsidRPr="00FA720B">
        <w:rPr>
          <w:lang w:val="de-DE"/>
        </w:rPr>
        <w:t xml:space="preserve">geeignete Produktions- und Prüfprozesse definiert sind, </w:t>
      </w:r>
    </w:p>
    <w:p w14:paraId="17FEC7FC" w14:textId="77777777" w:rsidR="00617434" w:rsidRPr="00FA720B" w:rsidRDefault="00617434">
      <w:pPr>
        <w:numPr>
          <w:ilvl w:val="0"/>
          <w:numId w:val="10"/>
        </w:numPr>
        <w:rPr>
          <w:lang w:val="de-DE"/>
        </w:rPr>
      </w:pPr>
      <w:r w:rsidRPr="00FA720B">
        <w:rPr>
          <w:lang w:val="de-DE"/>
        </w:rPr>
        <w:t xml:space="preserve">ausschließlich freigegebene und spezifikationskonforme Produkte ausgeliefert werden, </w:t>
      </w:r>
    </w:p>
    <w:p w14:paraId="244AC22D" w14:textId="77777777" w:rsidR="00617434" w:rsidRPr="00FA720B" w:rsidRDefault="00617434">
      <w:pPr>
        <w:numPr>
          <w:ilvl w:val="0"/>
          <w:numId w:val="10"/>
        </w:numPr>
        <w:rPr>
          <w:lang w:val="de-DE"/>
        </w:rPr>
      </w:pPr>
      <w:r w:rsidRPr="00FA720B">
        <w:rPr>
          <w:lang w:val="de-DE"/>
        </w:rPr>
        <w:t xml:space="preserve">Prüf- und Messmittel geeignet und kalibriert sind, </w:t>
      </w:r>
    </w:p>
    <w:p w14:paraId="6307F197" w14:textId="77777777" w:rsidR="00617434" w:rsidRPr="00FA720B" w:rsidRDefault="00617434">
      <w:pPr>
        <w:numPr>
          <w:ilvl w:val="0"/>
          <w:numId w:val="10"/>
        </w:numPr>
        <w:rPr>
          <w:lang w:val="de-DE"/>
        </w:rPr>
      </w:pPr>
      <w:r w:rsidRPr="00FA720B">
        <w:rPr>
          <w:lang w:val="de-DE"/>
        </w:rPr>
        <w:t xml:space="preserve">der Fertigungs- und Prüfstatus eindeutig erkennbar ist. </w:t>
      </w:r>
    </w:p>
    <w:p w14:paraId="42CC255E" w14:textId="77777777" w:rsidR="00617434" w:rsidRPr="00FA720B" w:rsidRDefault="00617434" w:rsidP="00617434">
      <w:pPr>
        <w:rPr>
          <w:lang w:val="de-DE"/>
        </w:rPr>
      </w:pPr>
      <w:r w:rsidRPr="00FA720B">
        <w:rPr>
          <w:lang w:val="de-DE"/>
        </w:rPr>
        <w:t>Die geforderte Qualitätsdokumentation ist entsprechend Bestellung, projektspezifischer Anforderungen bzw. vereinbarter Dokumentationsumfänge vollständig und strukturiert zu übermitteln.</w:t>
      </w:r>
    </w:p>
    <w:p w14:paraId="2CC25620" w14:textId="77777777" w:rsidR="00617434" w:rsidRPr="00FA720B" w:rsidRDefault="00617434" w:rsidP="00617434">
      <w:pPr>
        <w:rPr>
          <w:lang w:val="de-DE"/>
        </w:rPr>
      </w:pPr>
      <w:r w:rsidRPr="00FA720B">
        <w:rPr>
          <w:lang w:val="de-DE"/>
        </w:rPr>
        <w:t>Die erforderliche Qualitätsdokumentation kann beispielsweise umfassen:</w:t>
      </w:r>
    </w:p>
    <w:p w14:paraId="366ECE56" w14:textId="77777777" w:rsidR="00617434" w:rsidRPr="00FA720B" w:rsidRDefault="00617434">
      <w:pPr>
        <w:numPr>
          <w:ilvl w:val="0"/>
          <w:numId w:val="11"/>
        </w:numPr>
        <w:rPr>
          <w:lang w:val="de-DE"/>
        </w:rPr>
      </w:pPr>
      <w:r w:rsidRPr="00FA720B">
        <w:rPr>
          <w:lang w:val="de-DE"/>
        </w:rPr>
        <w:t xml:space="preserve">EN 10204 3.1 / 3.2 </w:t>
      </w:r>
    </w:p>
    <w:p w14:paraId="53EE825F" w14:textId="77777777" w:rsidR="00617434" w:rsidRPr="00FA720B" w:rsidRDefault="00617434">
      <w:pPr>
        <w:numPr>
          <w:ilvl w:val="0"/>
          <w:numId w:val="11"/>
        </w:numPr>
        <w:rPr>
          <w:lang w:val="de-DE"/>
        </w:rPr>
      </w:pPr>
      <w:r w:rsidRPr="00FA720B">
        <w:rPr>
          <w:lang w:val="de-DE"/>
        </w:rPr>
        <w:t xml:space="preserve">Konformitätserklärungen </w:t>
      </w:r>
    </w:p>
    <w:p w14:paraId="000C5B25" w14:textId="77777777" w:rsidR="00617434" w:rsidRPr="00FA720B" w:rsidRDefault="00617434">
      <w:pPr>
        <w:numPr>
          <w:ilvl w:val="0"/>
          <w:numId w:val="11"/>
        </w:numPr>
        <w:rPr>
          <w:lang w:val="de-DE"/>
        </w:rPr>
      </w:pPr>
      <w:r w:rsidRPr="00FA720B">
        <w:rPr>
          <w:lang w:val="de-DE"/>
        </w:rPr>
        <w:t xml:space="preserve">FDA-/Materialnachweise </w:t>
      </w:r>
    </w:p>
    <w:p w14:paraId="75114BBE" w14:textId="77777777" w:rsidR="00617434" w:rsidRPr="00FA720B" w:rsidRDefault="00617434">
      <w:pPr>
        <w:numPr>
          <w:ilvl w:val="0"/>
          <w:numId w:val="11"/>
        </w:numPr>
        <w:rPr>
          <w:lang w:val="de-DE"/>
        </w:rPr>
      </w:pPr>
      <w:r w:rsidRPr="00FA720B">
        <w:rPr>
          <w:lang w:val="de-DE"/>
        </w:rPr>
        <w:t xml:space="preserve">Oberflächenprotokolle </w:t>
      </w:r>
    </w:p>
    <w:p w14:paraId="3393A5CC" w14:textId="77777777" w:rsidR="00617434" w:rsidRPr="00FA720B" w:rsidRDefault="00617434">
      <w:pPr>
        <w:numPr>
          <w:ilvl w:val="0"/>
          <w:numId w:val="11"/>
        </w:numPr>
        <w:rPr>
          <w:lang w:val="de-DE"/>
        </w:rPr>
      </w:pPr>
      <w:r w:rsidRPr="00FA720B">
        <w:rPr>
          <w:lang w:val="de-DE"/>
        </w:rPr>
        <w:t xml:space="preserve">Schweißdokumentationen </w:t>
      </w:r>
    </w:p>
    <w:p w14:paraId="424C4845" w14:textId="77777777" w:rsidR="00617434" w:rsidRPr="00FA720B" w:rsidRDefault="00617434">
      <w:pPr>
        <w:numPr>
          <w:ilvl w:val="0"/>
          <w:numId w:val="11"/>
        </w:numPr>
        <w:rPr>
          <w:lang w:val="de-DE"/>
        </w:rPr>
      </w:pPr>
      <w:r w:rsidRPr="00FA720B">
        <w:rPr>
          <w:lang w:val="de-DE"/>
        </w:rPr>
        <w:t xml:space="preserve">projektspezifische Prüfprotokolle </w:t>
      </w:r>
    </w:p>
    <w:p w14:paraId="037D4BA6" w14:textId="77777777" w:rsidR="00617434" w:rsidRPr="00FA720B" w:rsidRDefault="00617434">
      <w:pPr>
        <w:numPr>
          <w:ilvl w:val="0"/>
          <w:numId w:val="11"/>
        </w:numPr>
        <w:rPr>
          <w:lang w:val="de-DE"/>
        </w:rPr>
      </w:pPr>
      <w:r w:rsidRPr="00FA720B">
        <w:rPr>
          <w:lang w:val="de-DE"/>
        </w:rPr>
        <w:t>weitere vereinbarte Qualitätsnachweise</w:t>
      </w:r>
    </w:p>
    <w:p w14:paraId="2B3A4ECF" w14:textId="77777777" w:rsidR="00F1527E" w:rsidRPr="00FA720B" w:rsidRDefault="00F1527E" w:rsidP="00F1527E">
      <w:pPr>
        <w:rPr>
          <w:lang w:val="de-DE"/>
        </w:rPr>
      </w:pPr>
    </w:p>
    <w:p w14:paraId="73E19F79" w14:textId="4D566134" w:rsidR="00571556" w:rsidRPr="00FA720B" w:rsidRDefault="00476F85" w:rsidP="00476F85">
      <w:pPr>
        <w:pStyle w:val="berschrift2"/>
        <w:spacing w:before="0" w:after="0"/>
        <w:ind w:left="578" w:hanging="578"/>
        <w:rPr>
          <w:rFonts w:eastAsia="Century Gothic" w:cs="Century Gothic"/>
          <w:szCs w:val="24"/>
          <w:lang w:val="de-AT"/>
        </w:rPr>
      </w:pPr>
      <w:bookmarkStart w:id="10" w:name="_Toc222211235"/>
      <w:r w:rsidRPr="00FA720B">
        <w:rPr>
          <w:rFonts w:eastAsia="Century Gothic" w:cs="Century Gothic"/>
          <w:szCs w:val="24"/>
          <w:lang w:val="de-AT"/>
        </w:rPr>
        <w:t>Termine und Lieferverzug</w:t>
      </w:r>
      <w:bookmarkEnd w:id="10"/>
    </w:p>
    <w:p w14:paraId="3D05C266" w14:textId="77777777" w:rsidR="00827C68" w:rsidRPr="00FA720B" w:rsidRDefault="00827C68" w:rsidP="00827C68">
      <w:pPr>
        <w:rPr>
          <w:lang w:val="de-DE"/>
        </w:rPr>
      </w:pPr>
      <w:r w:rsidRPr="00FA720B">
        <w:rPr>
          <w:lang w:val="de-DE"/>
        </w:rPr>
        <w:t>Der Lieferant ist verpflichtet, vereinbarte Liefertermine einzuhalten.</w:t>
      </w:r>
    </w:p>
    <w:p w14:paraId="20FFA596" w14:textId="77777777" w:rsidR="00827C68" w:rsidRPr="00FA720B" w:rsidRDefault="00827C68" w:rsidP="00827C68">
      <w:pPr>
        <w:rPr>
          <w:lang w:val="de-DE"/>
        </w:rPr>
      </w:pPr>
      <w:r w:rsidRPr="00FA720B">
        <w:rPr>
          <w:lang w:val="de-DE"/>
        </w:rPr>
        <w:t>Absehbare Terminabweichungen sind unverzüglich dem zuständigen SMB-Ansprechpartner schriftlich mitzuteilen.</w:t>
      </w:r>
    </w:p>
    <w:p w14:paraId="0A803FDD" w14:textId="77777777" w:rsidR="00827C68" w:rsidRPr="00FA720B" w:rsidRDefault="00827C68" w:rsidP="00827C68">
      <w:pPr>
        <w:rPr>
          <w:lang w:val="de-DE"/>
        </w:rPr>
      </w:pPr>
      <w:r w:rsidRPr="00FA720B">
        <w:rPr>
          <w:lang w:val="de-DE"/>
        </w:rPr>
        <w:t>Projekt- oder vertragsbezogene Regelungen zu Lieferterminen, Verzug, Eskalationen oder möglichen Folgemaßnahmen ergeben sich ergänzend aus den jeweiligen Bestellungen, Verträgen oder projektspezifischen Vereinbarungen.</w:t>
      </w:r>
    </w:p>
    <w:p w14:paraId="68ED9DCB" w14:textId="77777777" w:rsidR="00827C68" w:rsidRPr="00FA720B" w:rsidRDefault="00827C68" w:rsidP="005C4C64">
      <w:pPr>
        <w:rPr>
          <w:lang w:val="de-DE"/>
        </w:rPr>
      </w:pPr>
    </w:p>
    <w:p w14:paraId="6BB45599" w14:textId="01D1ED9C" w:rsidR="00463E2D" w:rsidRPr="00FA720B" w:rsidRDefault="005C4C64" w:rsidP="00463E2D">
      <w:pPr>
        <w:pStyle w:val="berschrift2"/>
        <w:spacing w:before="0" w:after="0"/>
        <w:ind w:left="578" w:hanging="578"/>
        <w:rPr>
          <w:rFonts w:eastAsia="Century Gothic" w:cs="Century Gothic"/>
          <w:szCs w:val="24"/>
          <w:lang w:val="de-AT"/>
        </w:rPr>
      </w:pPr>
      <w:bookmarkStart w:id="11" w:name="_Toc222211236"/>
      <w:r w:rsidRPr="00FA720B">
        <w:rPr>
          <w:rFonts w:eastAsia="Century Gothic" w:cs="Century Gothic"/>
          <w:szCs w:val="24"/>
          <w:lang w:val="de-AT"/>
        </w:rPr>
        <w:t>Warenausgang und Anlieferzustand</w:t>
      </w:r>
      <w:bookmarkEnd w:id="11"/>
    </w:p>
    <w:p w14:paraId="37C71B87" w14:textId="329CE9D3" w:rsidR="00032CEF" w:rsidRPr="00FA720B" w:rsidRDefault="000107C6" w:rsidP="00032CEF">
      <w:pPr>
        <w:pStyle w:val="isselectedend"/>
        <w:spacing w:before="0" w:beforeAutospacing="0" w:after="0" w:afterAutospacing="0"/>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val="de-AT" w:eastAsia="en-US"/>
        </w:rPr>
        <w:t xml:space="preserve">Der Lieferant hat sicherzustellen, dass ausschließlich spezifikationskonforme, freigegebene und geprüfte Produkte ausgeliefert </w:t>
      </w:r>
      <w:proofErr w:type="gramStart"/>
      <w:r w:rsidRPr="00FA720B">
        <w:rPr>
          <w:rFonts w:ascii="Century Gothic" w:eastAsiaTheme="minorHAnsi" w:hAnsi="Century Gothic" w:cstheme="minorBidi"/>
          <w:sz w:val="20"/>
          <w:szCs w:val="22"/>
          <w:lang w:val="de-AT" w:eastAsia="en-US"/>
        </w:rPr>
        <w:t>werden.</w:t>
      </w:r>
      <w:r w:rsidR="00032CEF" w:rsidRPr="00FA720B">
        <w:rPr>
          <w:rFonts w:ascii="Century Gothic" w:eastAsiaTheme="minorHAnsi" w:hAnsi="Century Gothic" w:cstheme="minorBidi"/>
          <w:sz w:val="20"/>
          <w:szCs w:val="22"/>
          <w:lang w:eastAsia="en-US"/>
        </w:rPr>
        <w:t>.</w:t>
      </w:r>
      <w:proofErr w:type="gramEnd"/>
    </w:p>
    <w:p w14:paraId="41F15069" w14:textId="1BCA37B0" w:rsidR="00032CEF" w:rsidRPr="00FA720B" w:rsidRDefault="00032CEF" w:rsidP="00032CEF">
      <w:pPr>
        <w:pStyle w:val="isselectedend"/>
        <w:spacing w:before="0" w:beforeAutospacing="0" w:after="0" w:afterAutospacing="0"/>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eastAsia="en-US"/>
        </w:rPr>
        <w:t>Die Anlieferung muss frei von unzulässigen Beschädigungen oder Korrosionserscheinungen sein, sauber und montagefähig, ordnungsgemäß gekennzeichnet sowie transportsicher verpackt erfolgen.</w:t>
      </w:r>
    </w:p>
    <w:p w14:paraId="61A6926D" w14:textId="77777777" w:rsidR="00032CEF" w:rsidRPr="00FA720B" w:rsidRDefault="00032CEF" w:rsidP="00032CEF">
      <w:pPr>
        <w:pStyle w:val="isselectedend"/>
        <w:spacing w:before="0" w:beforeAutospacing="0" w:after="0" w:afterAutospacing="0"/>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eastAsia="en-US"/>
        </w:rPr>
        <w:t>Die verbindlichen organisatorischen Anforderungen ergeben sich aus der jeweils gültigen SMB-Liefervorschrift.</w:t>
      </w:r>
    </w:p>
    <w:p w14:paraId="4E4C47F9" w14:textId="77777777" w:rsidR="00032CEF" w:rsidRPr="00FA720B" w:rsidRDefault="00032CEF" w:rsidP="00032CEF">
      <w:pPr>
        <w:pStyle w:val="StandardWeb"/>
        <w:spacing w:before="0" w:beforeAutospacing="0" w:after="0" w:afterAutospacing="0"/>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eastAsia="en-US"/>
        </w:rPr>
        <w:t>Produktspezifische technische Anforderungen, Bewertungsgrundlagen oder ergänzende Vereinbarungen können ergänzend über Spezifikationen, Zeichnungen oder gemeinsam abgestimmte Side Letter geregelt werden.</w:t>
      </w:r>
    </w:p>
    <w:p w14:paraId="151B23BF" w14:textId="77777777" w:rsidR="00C13EBE" w:rsidRDefault="00C13EBE" w:rsidP="000D61BA">
      <w:pPr>
        <w:rPr>
          <w:lang w:val="de-DE"/>
        </w:rPr>
      </w:pPr>
    </w:p>
    <w:p w14:paraId="55202255" w14:textId="4CD204A6" w:rsidR="00C13EBE" w:rsidRPr="00C13EBE" w:rsidRDefault="00C13EBE" w:rsidP="00C13EBE">
      <w:pPr>
        <w:pStyle w:val="berschrift2"/>
        <w:spacing w:before="0" w:after="0"/>
        <w:ind w:left="578" w:hanging="578"/>
        <w:rPr>
          <w:rFonts w:eastAsia="Century Gothic" w:cs="Century Gothic"/>
          <w:szCs w:val="24"/>
          <w:lang w:val="de-AT"/>
        </w:rPr>
      </w:pPr>
      <w:bookmarkStart w:id="12" w:name="_Toc222211237"/>
      <w:r w:rsidRPr="00C13EBE">
        <w:rPr>
          <w:rFonts w:eastAsia="Century Gothic" w:cs="Century Gothic"/>
          <w:szCs w:val="24"/>
          <w:lang w:val="de-AT"/>
        </w:rPr>
        <w:t>Unterauftragnehmer</w:t>
      </w:r>
      <w:bookmarkEnd w:id="12"/>
    </w:p>
    <w:p w14:paraId="386EFAF2" w14:textId="77777777" w:rsidR="00442CD7" w:rsidRPr="00442CD7" w:rsidRDefault="00442CD7" w:rsidP="00442CD7">
      <w:pPr>
        <w:rPr>
          <w:lang w:val="de-DE"/>
        </w:rPr>
      </w:pPr>
      <w:r w:rsidRPr="00442CD7">
        <w:rPr>
          <w:lang w:val="de-DE"/>
        </w:rPr>
        <w:t>Der Einsatz von Unterauftragnehmern ist zulässig, sofern keine anderslautende Bestellvorgabe vorliegt, die Anforderungen dieser QSV an den Unterauftragnehmer weitergegeben werden und der Lieferant die Einhaltung dieser Anforderungen sicherstellt.</w:t>
      </w:r>
    </w:p>
    <w:p w14:paraId="149DE93D" w14:textId="77777777" w:rsidR="00442CD7" w:rsidRPr="00442CD7" w:rsidRDefault="00442CD7" w:rsidP="00442CD7">
      <w:pPr>
        <w:rPr>
          <w:lang w:val="de-DE"/>
        </w:rPr>
      </w:pPr>
    </w:p>
    <w:p w14:paraId="4BE84BEC" w14:textId="701B3CB3" w:rsidR="00442CD7" w:rsidRPr="00442CD7" w:rsidRDefault="00442CD7" w:rsidP="00442CD7">
      <w:pPr>
        <w:rPr>
          <w:lang w:val="de-DE"/>
        </w:rPr>
      </w:pPr>
      <w:r w:rsidRPr="00442CD7">
        <w:rPr>
          <w:lang w:val="de-DE"/>
        </w:rPr>
        <w:t>Die Verantwortung verbleibt beim Vertragspartner von SMB.</w:t>
      </w:r>
    </w:p>
    <w:p w14:paraId="598B56C1" w14:textId="77777777" w:rsidR="000D61BA" w:rsidRPr="000D61BA" w:rsidRDefault="000D61BA" w:rsidP="000D61BA">
      <w:pPr>
        <w:rPr>
          <w:lang w:val="de-DE"/>
        </w:rPr>
      </w:pPr>
    </w:p>
    <w:p w14:paraId="57D37DE0" w14:textId="44B02A26" w:rsidR="00463E2D" w:rsidRPr="000D61BA" w:rsidRDefault="000D61BA" w:rsidP="000D61BA">
      <w:pPr>
        <w:pStyle w:val="berschrift1"/>
        <w:spacing w:before="0" w:after="0"/>
        <w:ind w:left="431" w:hanging="431"/>
        <w:rPr>
          <w:rFonts w:eastAsia="Century Gothic" w:cs="Century Gothic"/>
          <w:szCs w:val="24"/>
          <w:lang w:val="de-AT"/>
        </w:rPr>
      </w:pPr>
      <w:bookmarkStart w:id="13" w:name="_Toc222211238"/>
      <w:r w:rsidRPr="000D61BA">
        <w:rPr>
          <w:rFonts w:eastAsia="Century Gothic" w:cs="Century Gothic"/>
          <w:szCs w:val="24"/>
          <w:lang w:val="de-AT"/>
        </w:rPr>
        <w:t>Abweichungen und Reklamationen</w:t>
      </w:r>
      <w:bookmarkEnd w:id="13"/>
    </w:p>
    <w:p w14:paraId="7955755C" w14:textId="77777777" w:rsidR="001749BB" w:rsidRPr="001749BB" w:rsidRDefault="001749BB" w:rsidP="001749BB">
      <w:pPr>
        <w:rPr>
          <w:lang w:val="de-DE"/>
        </w:rPr>
      </w:pPr>
      <w:r w:rsidRPr="001749BB">
        <w:rPr>
          <w:lang w:val="de-DE"/>
        </w:rPr>
        <w:t>Bei berechtigten Reklamationen ist der Lieferant zur unverzüglichen Einleitung von Sofortmaßnahmen, zur Ursachenanalyse und zur nachhaltigen Korrekturmaßnahme verpflichtet.</w:t>
      </w:r>
    </w:p>
    <w:p w14:paraId="5E8449CD" w14:textId="77777777" w:rsidR="001749BB" w:rsidRPr="001749BB" w:rsidRDefault="001749BB" w:rsidP="001749BB">
      <w:pPr>
        <w:rPr>
          <w:lang w:val="de-DE"/>
        </w:rPr>
      </w:pPr>
    </w:p>
    <w:p w14:paraId="1410264D" w14:textId="77777777" w:rsidR="001749BB" w:rsidRPr="001749BB" w:rsidRDefault="001749BB" w:rsidP="001749BB">
      <w:pPr>
        <w:rPr>
          <w:lang w:val="de-DE"/>
        </w:rPr>
      </w:pPr>
      <w:r w:rsidRPr="001749BB">
        <w:rPr>
          <w:lang w:val="de-DE"/>
        </w:rPr>
        <w:t>Ein 8D-Report ist nur bei systematischen oder schwerwiegenden Fehlern erforderlich.</w:t>
      </w:r>
    </w:p>
    <w:p w14:paraId="4A9A0FDE" w14:textId="77777777" w:rsidR="001749BB" w:rsidRPr="001749BB" w:rsidRDefault="001749BB" w:rsidP="001749BB">
      <w:pPr>
        <w:rPr>
          <w:lang w:val="de-DE"/>
        </w:rPr>
      </w:pPr>
    </w:p>
    <w:p w14:paraId="135FA4D2" w14:textId="77777777" w:rsidR="001749BB" w:rsidRDefault="001749BB" w:rsidP="001749BB">
      <w:pPr>
        <w:rPr>
          <w:lang w:val="de-DE"/>
        </w:rPr>
      </w:pPr>
      <w:r w:rsidRPr="001749BB">
        <w:rPr>
          <w:lang w:val="de-DE"/>
        </w:rPr>
        <w:t>Nachgearbeitete oder reparierte Teile sind erneut zu prüfen und eindeutig zu kennzeichnen.</w:t>
      </w:r>
    </w:p>
    <w:p w14:paraId="52A195F9" w14:textId="77777777" w:rsidR="00204F0D" w:rsidRPr="001749BB" w:rsidRDefault="00204F0D" w:rsidP="001749BB">
      <w:pPr>
        <w:rPr>
          <w:lang w:val="de-DE"/>
        </w:rPr>
      </w:pPr>
    </w:p>
    <w:p w14:paraId="5742D8B7" w14:textId="7F7658F8" w:rsidR="001749BB" w:rsidRPr="00204F0D" w:rsidRDefault="00204F0D" w:rsidP="00204F0D">
      <w:pPr>
        <w:pStyle w:val="berschrift1"/>
        <w:spacing w:before="0" w:after="0"/>
        <w:ind w:left="431" w:hanging="431"/>
        <w:rPr>
          <w:rFonts w:eastAsia="Century Gothic" w:cs="Century Gothic"/>
          <w:szCs w:val="24"/>
          <w:lang w:val="de-AT"/>
        </w:rPr>
      </w:pPr>
      <w:bookmarkStart w:id="14" w:name="_Toc222211239"/>
      <w:r w:rsidRPr="00204F0D">
        <w:rPr>
          <w:rFonts w:eastAsia="Century Gothic" w:cs="Century Gothic"/>
          <w:szCs w:val="24"/>
          <w:lang w:val="de-AT"/>
        </w:rPr>
        <w:lastRenderedPageBreak/>
        <w:t>Audit- und Informationsrecht</w:t>
      </w:r>
      <w:bookmarkEnd w:id="14"/>
    </w:p>
    <w:p w14:paraId="3BC26E16" w14:textId="0075C38B" w:rsidR="00CD55EC" w:rsidRPr="00CD55EC" w:rsidRDefault="00CD55EC" w:rsidP="00F92D69">
      <w:pPr>
        <w:pStyle w:val="StandardWeb"/>
        <w:spacing w:before="0" w:beforeAutospacing="0"/>
        <w:rPr>
          <w:rFonts w:ascii="Century Gothic" w:eastAsiaTheme="minorHAnsi" w:hAnsi="Century Gothic" w:cstheme="minorBidi"/>
          <w:sz w:val="20"/>
          <w:szCs w:val="22"/>
          <w:lang w:eastAsia="en-US"/>
        </w:rPr>
      </w:pPr>
      <w:r w:rsidRPr="00CD55EC">
        <w:rPr>
          <w:rFonts w:ascii="Century Gothic" w:eastAsiaTheme="minorHAnsi" w:hAnsi="Century Gothic" w:cstheme="minorBidi"/>
          <w:sz w:val="20"/>
          <w:szCs w:val="22"/>
          <w:lang w:eastAsia="en-US"/>
        </w:rPr>
        <w:t>SMB ist nach angemessener Vorankündigung berechtigt, Audits beim Lieferanten durchzuführen.</w:t>
      </w:r>
      <w:r>
        <w:rPr>
          <w:rFonts w:ascii="Century Gothic" w:eastAsiaTheme="minorHAnsi" w:hAnsi="Century Gothic" w:cstheme="minorBidi"/>
          <w:sz w:val="20"/>
          <w:szCs w:val="22"/>
          <w:lang w:eastAsia="en-US"/>
        </w:rPr>
        <w:t xml:space="preserve"> </w:t>
      </w:r>
      <w:r w:rsidRPr="00CD55EC">
        <w:rPr>
          <w:rFonts w:ascii="Century Gothic" w:eastAsiaTheme="minorHAnsi" w:hAnsi="Century Gothic" w:cstheme="minorBidi"/>
          <w:sz w:val="20"/>
          <w:szCs w:val="22"/>
          <w:lang w:eastAsia="en-US"/>
        </w:rPr>
        <w:t>Diese können System-, Prozess- oder Produktaudits umfassen und erfolgen risikobasiert sowie verhältnismäßig.</w:t>
      </w:r>
    </w:p>
    <w:p w14:paraId="2D062353" w14:textId="7B978ABB" w:rsidR="00CD55EC" w:rsidRPr="00272B79" w:rsidRDefault="00272B79" w:rsidP="00272B79">
      <w:pPr>
        <w:pStyle w:val="berschrift1"/>
        <w:spacing w:before="0" w:after="0"/>
        <w:ind w:left="431" w:hanging="431"/>
        <w:rPr>
          <w:rFonts w:eastAsia="Century Gothic" w:cs="Century Gothic"/>
          <w:szCs w:val="24"/>
          <w:lang w:val="de-AT"/>
        </w:rPr>
      </w:pPr>
      <w:bookmarkStart w:id="15" w:name="_Toc222211240"/>
      <w:r w:rsidRPr="00272B79">
        <w:rPr>
          <w:rFonts w:eastAsia="Century Gothic" w:cs="Century Gothic"/>
          <w:szCs w:val="24"/>
          <w:lang w:val="de-AT"/>
        </w:rPr>
        <w:t>Umwelt, Sicherheit und Nachhaltigkeit</w:t>
      </w:r>
      <w:bookmarkEnd w:id="15"/>
    </w:p>
    <w:p w14:paraId="6B99323A" w14:textId="77777777" w:rsidR="00E6383F" w:rsidRPr="00E6383F" w:rsidRDefault="00E6383F" w:rsidP="00E6383F">
      <w:pPr>
        <w:rPr>
          <w:lang w:val="de-DE"/>
        </w:rPr>
      </w:pPr>
      <w:r w:rsidRPr="00E6383F">
        <w:rPr>
          <w:lang w:val="de-DE"/>
        </w:rPr>
        <w:t>Der Lieferant verpflichtet sich, alle geltenden Umwelt- und Arbeitsschutzgesetze einzuhalten, Abfälle ordnungsgemäß zu entsorgen, Umweltbelastungen zu minimieren und Ressourcen verantwortungsvoll zu nutzen.</w:t>
      </w:r>
    </w:p>
    <w:p w14:paraId="6F28D161" w14:textId="77777777" w:rsidR="00E6383F" w:rsidRPr="00E6383F" w:rsidRDefault="00E6383F" w:rsidP="00E6383F">
      <w:pPr>
        <w:rPr>
          <w:lang w:val="de-DE"/>
        </w:rPr>
      </w:pPr>
    </w:p>
    <w:p w14:paraId="61B9AB36" w14:textId="0FAE76C3" w:rsidR="00E6383F" w:rsidRPr="00FA720B" w:rsidRDefault="003068B4" w:rsidP="003068B4">
      <w:pPr>
        <w:pStyle w:val="berschrift1"/>
        <w:spacing w:before="0" w:after="0"/>
        <w:ind w:left="431" w:hanging="431"/>
        <w:rPr>
          <w:rFonts w:eastAsia="Century Gothic" w:cs="Century Gothic"/>
          <w:szCs w:val="24"/>
          <w:lang w:val="de-AT"/>
        </w:rPr>
      </w:pPr>
      <w:bookmarkStart w:id="16" w:name="_Toc222211241"/>
      <w:r w:rsidRPr="00FA720B">
        <w:rPr>
          <w:rFonts w:eastAsia="Century Gothic" w:cs="Century Gothic"/>
          <w:szCs w:val="24"/>
          <w:lang w:val="de-AT"/>
        </w:rPr>
        <w:t>Leistung und Lieferantenbewertung</w:t>
      </w:r>
      <w:bookmarkEnd w:id="16"/>
    </w:p>
    <w:p w14:paraId="6A2543DD" w14:textId="77777777" w:rsidR="0092458C" w:rsidRPr="00FA720B" w:rsidRDefault="0092458C" w:rsidP="0092458C">
      <w:pPr>
        <w:rPr>
          <w:lang w:val="de-DE"/>
        </w:rPr>
      </w:pPr>
      <w:r w:rsidRPr="00FA720B">
        <w:rPr>
          <w:lang w:val="de-DE"/>
        </w:rPr>
        <w:t>SMB bewertet die Leistung der Lieferanten regelmäßig anhand der Kriterien Qualität, Termintreue, Dokumentationsqualität, Reaktionsgeschwindigkeit und Kooperationsverhalten.</w:t>
      </w:r>
    </w:p>
    <w:p w14:paraId="649FF77F" w14:textId="24BB42D1" w:rsidR="00F20412" w:rsidRPr="00FA720B" w:rsidRDefault="007902A0" w:rsidP="00F20412">
      <w:r w:rsidRPr="00FA720B">
        <w:t>Bei anhaltend unzureichender Leistung behält sich SMB eine erneute Bewertung, Eskalation oder gemeinsame Maßnahmenabstimmung im Rahmen des Lieferantenmanagements vor.</w:t>
      </w:r>
    </w:p>
    <w:p w14:paraId="261321EB" w14:textId="77777777" w:rsidR="007902A0" w:rsidRPr="00FA720B" w:rsidRDefault="007902A0" w:rsidP="00F20412">
      <w:pPr>
        <w:rPr>
          <w:lang w:val="de-DE"/>
        </w:rPr>
      </w:pPr>
    </w:p>
    <w:p w14:paraId="734C2A3B" w14:textId="76325A45" w:rsidR="00E6383F" w:rsidRPr="00FA720B" w:rsidRDefault="00633B19" w:rsidP="00633B19">
      <w:pPr>
        <w:pStyle w:val="berschrift1"/>
        <w:spacing w:before="0" w:after="0"/>
        <w:ind w:left="431" w:hanging="431"/>
        <w:rPr>
          <w:rFonts w:eastAsia="Century Gothic" w:cs="Century Gothic"/>
          <w:szCs w:val="24"/>
          <w:lang w:val="de-AT"/>
        </w:rPr>
      </w:pPr>
      <w:bookmarkStart w:id="17" w:name="_Toc222211242"/>
      <w:r w:rsidRPr="00FA720B">
        <w:rPr>
          <w:rFonts w:eastAsia="Century Gothic" w:cs="Century Gothic"/>
          <w:szCs w:val="24"/>
          <w:lang w:val="de-AT"/>
        </w:rPr>
        <w:t>Laufzeit und Anwendungsbereich</w:t>
      </w:r>
      <w:bookmarkEnd w:id="17"/>
    </w:p>
    <w:p w14:paraId="21FA60F5" w14:textId="77777777" w:rsidR="006936E9" w:rsidRPr="00FA720B" w:rsidRDefault="006936E9" w:rsidP="00F92D69">
      <w:pPr>
        <w:pStyle w:val="StandardWeb"/>
        <w:spacing w:before="0" w:beforeAutospacing="0"/>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eastAsia="en-US"/>
        </w:rPr>
        <w:t>Diese QSV tritt mit Unterzeichnung in Kraft und gilt bis auf Widerruf bzw. bis zur schriftlichen Ablösung durch eine neue Revision.</w:t>
      </w:r>
    </w:p>
    <w:p w14:paraId="1D666E26" w14:textId="77777777" w:rsidR="006936E9" w:rsidRPr="006936E9" w:rsidRDefault="006936E9" w:rsidP="006936E9">
      <w:pPr>
        <w:pStyle w:val="StandardWeb"/>
        <w:rPr>
          <w:rFonts w:ascii="Century Gothic" w:eastAsiaTheme="minorHAnsi" w:hAnsi="Century Gothic" w:cstheme="minorBidi"/>
          <w:sz w:val="20"/>
          <w:szCs w:val="22"/>
          <w:lang w:eastAsia="en-US"/>
        </w:rPr>
      </w:pPr>
      <w:r w:rsidRPr="00FA720B">
        <w:rPr>
          <w:rFonts w:ascii="Century Gothic" w:eastAsiaTheme="minorHAnsi" w:hAnsi="Century Gothic" w:cstheme="minorBidi"/>
          <w:sz w:val="20"/>
          <w:szCs w:val="22"/>
          <w:lang w:eastAsia="en-US"/>
        </w:rPr>
        <w:t>Änderungen und Ergänzungen dieser Vereinbarung bedürfen der Schriftform.</w:t>
      </w:r>
    </w:p>
    <w:p w14:paraId="5056D0E5" w14:textId="77777777" w:rsidR="00F336A9" w:rsidRPr="00F336A9" w:rsidRDefault="00F336A9" w:rsidP="00F336A9">
      <w:pPr>
        <w:rPr>
          <w:lang w:val="de-DE"/>
        </w:rPr>
      </w:pPr>
    </w:p>
    <w:p w14:paraId="784DCAA9" w14:textId="77777777" w:rsidR="000E2EB1" w:rsidRDefault="000E2EB1" w:rsidP="000E2EB1">
      <w:pPr>
        <w:pStyle w:val="berschrift2"/>
      </w:pPr>
      <w:bookmarkStart w:id="18" w:name="_Toc222211243"/>
      <w:r>
        <w:t>Freigabe</w:t>
      </w:r>
      <w:bookmarkEnd w:id="18"/>
    </w:p>
    <w:p w14:paraId="408DBEDE" w14:textId="77777777" w:rsidR="008B462D" w:rsidRPr="008B462D" w:rsidRDefault="008B462D" w:rsidP="008B462D">
      <w:pPr>
        <w:rPr>
          <w:lang w:val="de-DE"/>
        </w:rPr>
      </w:pPr>
    </w:p>
    <w:p w14:paraId="7777E463" w14:textId="77777777" w:rsidR="00B87902" w:rsidRDefault="00B87902" w:rsidP="00B87902">
      <w:r>
        <w:t>Ort, Datum: _______________________________</w:t>
      </w:r>
    </w:p>
    <w:p w14:paraId="4D81AEF6" w14:textId="77777777" w:rsidR="00B87902" w:rsidRDefault="00B87902" w:rsidP="00B87902"/>
    <w:p w14:paraId="0321FD18" w14:textId="77777777" w:rsidR="00B87902" w:rsidRPr="002258C6" w:rsidRDefault="00B87902" w:rsidP="00B87902">
      <w:pPr>
        <w:rPr>
          <w:b/>
          <w:bCs/>
        </w:rPr>
      </w:pPr>
      <w:r w:rsidRPr="002258C6">
        <w:rPr>
          <w:b/>
          <w:bCs/>
        </w:rPr>
        <w:t>Für SMB Industrieanlagenbau GmbH</w:t>
      </w:r>
    </w:p>
    <w:p w14:paraId="7B9FCB22" w14:textId="77777777" w:rsidR="002258C6" w:rsidRDefault="002258C6" w:rsidP="00B87902"/>
    <w:p w14:paraId="49F74082" w14:textId="77777777" w:rsidR="00B87902" w:rsidRDefault="00B87902" w:rsidP="002258C6">
      <w:pPr>
        <w:spacing w:line="480" w:lineRule="auto"/>
      </w:pPr>
      <w:r>
        <w:t>Geschäftsführung: _______________________________</w:t>
      </w:r>
    </w:p>
    <w:p w14:paraId="2D729D50" w14:textId="77777777" w:rsidR="00B87902" w:rsidRDefault="00B87902" w:rsidP="002258C6">
      <w:pPr>
        <w:spacing w:line="480" w:lineRule="auto"/>
      </w:pPr>
      <w:r>
        <w:t>Leitung IMS / QM: _______________________________</w:t>
      </w:r>
    </w:p>
    <w:p w14:paraId="2109C7A1" w14:textId="77777777" w:rsidR="00B87902" w:rsidRDefault="00B87902" w:rsidP="002258C6">
      <w:pPr>
        <w:spacing w:line="480" w:lineRule="auto"/>
      </w:pPr>
      <w:r>
        <w:t>Unterschrift: _______________________________</w:t>
      </w:r>
    </w:p>
    <w:p w14:paraId="0F3C1C7F" w14:textId="77777777" w:rsidR="00B87902" w:rsidRDefault="00B87902" w:rsidP="00B87902"/>
    <w:p w14:paraId="101DDFAC" w14:textId="77777777" w:rsidR="00B87902" w:rsidRDefault="00B87902" w:rsidP="002258C6">
      <w:pPr>
        <w:spacing w:line="480" w:lineRule="auto"/>
        <w:rPr>
          <w:b/>
          <w:bCs/>
        </w:rPr>
      </w:pPr>
      <w:r w:rsidRPr="002258C6">
        <w:rPr>
          <w:b/>
          <w:bCs/>
        </w:rPr>
        <w:t>Für den Lieferanten</w:t>
      </w:r>
    </w:p>
    <w:p w14:paraId="3CEA5209" w14:textId="0459F758" w:rsidR="00AA7F78" w:rsidRPr="002258C6" w:rsidRDefault="00AA7F78" w:rsidP="002258C6">
      <w:pPr>
        <w:spacing w:line="480" w:lineRule="auto"/>
        <w:rPr>
          <w:b/>
          <w:bCs/>
        </w:rPr>
      </w:pPr>
      <w:r>
        <w:t>Ort, Datum: _______________________________</w:t>
      </w:r>
    </w:p>
    <w:p w14:paraId="651A916A" w14:textId="77777777" w:rsidR="00B87902" w:rsidRDefault="00B87902" w:rsidP="002258C6">
      <w:pPr>
        <w:spacing w:line="480" w:lineRule="auto"/>
      </w:pPr>
      <w:r>
        <w:t>Firmenname: _______________________________</w:t>
      </w:r>
    </w:p>
    <w:p w14:paraId="474977BC" w14:textId="77777777" w:rsidR="00B87902" w:rsidRDefault="00B87902" w:rsidP="002258C6">
      <w:pPr>
        <w:spacing w:line="480" w:lineRule="auto"/>
      </w:pPr>
      <w:r>
        <w:t>Name: _______________________________</w:t>
      </w:r>
    </w:p>
    <w:p w14:paraId="6883342C" w14:textId="77777777" w:rsidR="00B87902" w:rsidRDefault="00B87902" w:rsidP="002258C6">
      <w:pPr>
        <w:spacing w:line="480" w:lineRule="auto"/>
      </w:pPr>
      <w:r>
        <w:t>Funktion: _______________________________</w:t>
      </w:r>
    </w:p>
    <w:p w14:paraId="0C7563C3" w14:textId="77777777" w:rsidR="00B87902" w:rsidRDefault="00B87902" w:rsidP="002258C6">
      <w:pPr>
        <w:spacing w:line="480" w:lineRule="auto"/>
      </w:pPr>
      <w:r>
        <w:t>Unterschrift: _______________________________</w:t>
      </w:r>
    </w:p>
    <w:p w14:paraId="7FD78104" w14:textId="77777777" w:rsidR="008B462D" w:rsidRDefault="008B462D" w:rsidP="008B462D">
      <w:pPr>
        <w:spacing w:line="480" w:lineRule="auto"/>
      </w:pPr>
      <w:r>
        <w:t>Name: _______________________________</w:t>
      </w:r>
    </w:p>
    <w:p w14:paraId="097D82F3" w14:textId="77777777" w:rsidR="008B462D" w:rsidRDefault="008B462D" w:rsidP="008B462D">
      <w:pPr>
        <w:spacing w:line="480" w:lineRule="auto"/>
      </w:pPr>
      <w:r>
        <w:t>Funktion: _______________________________</w:t>
      </w:r>
    </w:p>
    <w:p w14:paraId="2EFB9127" w14:textId="77777777" w:rsidR="002D4152" w:rsidRDefault="008B462D" w:rsidP="000346A0">
      <w:pPr>
        <w:spacing w:line="480" w:lineRule="auto"/>
        <w:sectPr w:rsidR="002D4152" w:rsidSect="006C4DFB">
          <w:headerReference w:type="default" r:id="rId11"/>
          <w:footerReference w:type="default" r:id="rId12"/>
          <w:pgSz w:w="11906" w:h="16838"/>
          <w:pgMar w:top="1701" w:right="567" w:bottom="567" w:left="964" w:header="709" w:footer="709" w:gutter="0"/>
          <w:cols w:space="708"/>
          <w:docGrid w:linePitch="360"/>
        </w:sectPr>
      </w:pPr>
      <w:r>
        <w:t>Unterschrift: _______________________________</w:t>
      </w:r>
    </w:p>
    <w:sdt>
      <w:sdtPr>
        <w:rPr>
          <w:rFonts w:asciiTheme="minorHAnsi" w:eastAsiaTheme="minorEastAsia" w:hAnsiTheme="minorHAnsi" w:cs="Times New Roman"/>
          <w:color w:val="auto"/>
          <w:sz w:val="22"/>
          <w:szCs w:val="22"/>
        </w:rPr>
        <w:id w:val="1806272359"/>
        <w:docPartObj>
          <w:docPartGallery w:val="Table of Contents"/>
          <w:docPartUnique/>
        </w:docPartObj>
      </w:sdtPr>
      <w:sdtContent>
        <w:p w14:paraId="52BE56B4" w14:textId="6766A613" w:rsidR="002F7A20" w:rsidRPr="002F7A20" w:rsidRDefault="002D4152" w:rsidP="002F7A20">
          <w:pPr>
            <w:pStyle w:val="Inhaltsverzeichnisberschrift"/>
            <w:rPr>
              <w:rFonts w:ascii="Century Gothic" w:hAnsi="Century Gothic"/>
              <w:b/>
              <w:bCs/>
              <w:color w:val="auto"/>
              <w:sz w:val="24"/>
              <w:szCs w:val="24"/>
            </w:rPr>
          </w:pPr>
          <w:r w:rsidRPr="00595305">
            <w:rPr>
              <w:rFonts w:ascii="Century Gothic" w:hAnsi="Century Gothic"/>
              <w:b/>
              <w:bCs/>
              <w:color w:val="auto"/>
              <w:sz w:val="24"/>
              <w:szCs w:val="24"/>
            </w:rPr>
            <w:t>Contents</w:t>
          </w:r>
          <w:r>
            <w:fldChar w:fldCharType="begin"/>
          </w:r>
          <w:r>
            <w:instrText>TOC \o "1-3" \z \u \h</w:instrText>
          </w:r>
          <w:r>
            <w:fldChar w:fldCharType="separate"/>
          </w:r>
        </w:p>
        <w:p w14:paraId="6B1115F3" w14:textId="7D13D5E4" w:rsidR="002F7A20" w:rsidRPr="006901BD" w:rsidRDefault="002F7A20" w:rsidP="006901BD">
          <w:pPr>
            <w:pStyle w:val="Verzeichnis1"/>
            <w:rPr>
              <w:rFonts w:cstheme="minorBidi"/>
              <w:kern w:val="2"/>
              <w14:ligatures w14:val="standardContextual"/>
            </w:rPr>
          </w:pPr>
          <w:hyperlink w:anchor="_Toc222211244" w:history="1">
            <w:r w:rsidRPr="006901BD">
              <w:rPr>
                <w:rStyle w:val="Hyperlink"/>
              </w:rPr>
              <w:t>1</w:t>
            </w:r>
            <w:r w:rsidRPr="006901BD">
              <w:rPr>
                <w:rFonts w:cstheme="minorBidi"/>
                <w:kern w:val="2"/>
                <w14:ligatures w14:val="standardContextual"/>
              </w:rPr>
              <w:tab/>
            </w:r>
            <w:r w:rsidRPr="006901BD">
              <w:rPr>
                <w:rStyle w:val="Hyperlink"/>
              </w:rPr>
              <w:t>General</w:t>
            </w:r>
            <w:r w:rsidRPr="006901BD">
              <w:rPr>
                <w:webHidden/>
              </w:rPr>
              <w:tab/>
            </w:r>
            <w:r w:rsidRPr="006901BD">
              <w:rPr>
                <w:webHidden/>
              </w:rPr>
              <w:fldChar w:fldCharType="begin"/>
            </w:r>
            <w:r w:rsidRPr="006901BD">
              <w:rPr>
                <w:webHidden/>
              </w:rPr>
              <w:instrText xml:space="preserve"> PAGEREF _Toc222211244 \h </w:instrText>
            </w:r>
            <w:r w:rsidRPr="006901BD">
              <w:rPr>
                <w:webHidden/>
              </w:rPr>
            </w:r>
            <w:r w:rsidRPr="006901BD">
              <w:rPr>
                <w:webHidden/>
              </w:rPr>
              <w:fldChar w:fldCharType="separate"/>
            </w:r>
            <w:r w:rsidRPr="006901BD">
              <w:rPr>
                <w:webHidden/>
              </w:rPr>
              <w:t>6</w:t>
            </w:r>
            <w:r w:rsidRPr="006901BD">
              <w:rPr>
                <w:webHidden/>
              </w:rPr>
              <w:fldChar w:fldCharType="end"/>
            </w:r>
          </w:hyperlink>
        </w:p>
        <w:p w14:paraId="0983EDF6" w14:textId="3CC25EF8"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5" w:history="1">
            <w:r w:rsidRPr="006901BD">
              <w:rPr>
                <w:rStyle w:val="Hyperlink"/>
                <w:rFonts w:ascii="Century Gothic" w:eastAsia="Century Gothic" w:hAnsi="Century Gothic" w:cs="Century Gothic"/>
                <w:noProof/>
                <w:sz w:val="20"/>
                <w:szCs w:val="20"/>
                <w:lang w:val="de-AT"/>
              </w:rPr>
              <w:t>1.1</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Purpose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_Toc222211245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254CB263" w14:textId="402877FA"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6" w:history="1">
            <w:r w:rsidRPr="006901BD">
              <w:rPr>
                <w:rStyle w:val="Hyperlink"/>
                <w:rFonts w:ascii="Century Gothic" w:eastAsia="Century Gothic" w:hAnsi="Century Gothic" w:cs="Century Gothic"/>
                <w:noProof/>
                <w:sz w:val="20"/>
                <w:szCs w:val="20"/>
                <w:lang w:val="de-AT"/>
              </w:rPr>
              <w:t>1.2</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Objective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_Toc222211246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0A644667" w14:textId="7D7D5D99"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7" w:history="1">
            <w:r w:rsidRPr="006901BD">
              <w:rPr>
                <w:rStyle w:val="Hyperlink"/>
                <w:rFonts w:ascii="Century Gothic" w:eastAsia="Century Gothic" w:hAnsi="Century Gothic" w:cs="Century Gothic"/>
                <w:noProof/>
                <w:sz w:val="20"/>
                <w:szCs w:val="20"/>
                <w:lang w:val="de-AT"/>
              </w:rPr>
              <w:t>1.3</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Applicable documents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_Toc222211247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43ED8701" w14:textId="4249A81D"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48" w:history="1">
            <w:r w:rsidRPr="006901BD">
              <w:rPr>
                <w:rStyle w:val="Hyperlink"/>
                <w:rFonts w:ascii="Century Gothic" w:eastAsia="Century Gothic" w:hAnsi="Century Gothic" w:cs="Century Gothic"/>
                <w:noProof/>
                <w:sz w:val="20"/>
                <w:szCs w:val="20"/>
                <w:lang w:val="de-AT"/>
              </w:rPr>
              <w:t>1.4</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Scope</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_Toc222211248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6</w:t>
            </w:r>
            <w:r w:rsidRPr="006901BD">
              <w:rPr>
                <w:rFonts w:ascii="Century Gothic" w:hAnsi="Century Gothic"/>
                <w:noProof/>
                <w:webHidden/>
                <w:sz w:val="20"/>
                <w:szCs w:val="20"/>
              </w:rPr>
              <w:fldChar w:fldCharType="end"/>
            </w:r>
          </w:hyperlink>
        </w:p>
        <w:p w14:paraId="0A6103F0" w14:textId="43EDD7AD" w:rsidR="002F7A20" w:rsidRPr="006901BD" w:rsidRDefault="002F7A20" w:rsidP="006901BD">
          <w:pPr>
            <w:pStyle w:val="Verzeichnis1"/>
            <w:rPr>
              <w:rFonts w:cstheme="minorBidi"/>
              <w:kern w:val="2"/>
              <w14:ligatures w14:val="standardContextual"/>
            </w:rPr>
          </w:pPr>
          <w:hyperlink w:anchor="_Toc222211249" w:history="1">
            <w:r w:rsidRPr="006901BD">
              <w:rPr>
                <w:rStyle w:val="Hyperlink"/>
              </w:rPr>
              <w:t>2</w:t>
            </w:r>
            <w:r w:rsidRPr="006901BD">
              <w:rPr>
                <w:rFonts w:cstheme="minorBidi"/>
                <w:kern w:val="2"/>
                <w14:ligatures w14:val="standardContextual"/>
              </w:rPr>
              <w:tab/>
            </w:r>
            <w:r w:rsidRPr="006901BD">
              <w:rPr>
                <w:rStyle w:val="Hyperlink"/>
              </w:rPr>
              <w:t>Responsibility of the supplier</w:t>
            </w:r>
            <w:r w:rsidRPr="006901BD">
              <w:rPr>
                <w:webHidden/>
              </w:rPr>
              <w:tab/>
            </w:r>
            <w:r w:rsidRPr="006901BD">
              <w:rPr>
                <w:webHidden/>
              </w:rPr>
              <w:fldChar w:fldCharType="begin"/>
            </w:r>
            <w:r w:rsidRPr="006901BD">
              <w:rPr>
                <w:webHidden/>
              </w:rPr>
              <w:instrText xml:space="preserve"> PAGEREF _Toc222211249 \h </w:instrText>
            </w:r>
            <w:r w:rsidRPr="006901BD">
              <w:rPr>
                <w:webHidden/>
              </w:rPr>
            </w:r>
            <w:r w:rsidRPr="006901BD">
              <w:rPr>
                <w:webHidden/>
              </w:rPr>
              <w:fldChar w:fldCharType="separate"/>
            </w:r>
            <w:r w:rsidRPr="006901BD">
              <w:rPr>
                <w:webHidden/>
              </w:rPr>
              <w:t>7</w:t>
            </w:r>
            <w:r w:rsidRPr="006901BD">
              <w:rPr>
                <w:webHidden/>
              </w:rPr>
              <w:fldChar w:fldCharType="end"/>
            </w:r>
          </w:hyperlink>
        </w:p>
        <w:p w14:paraId="46E0C81B" w14:textId="0E0066CC"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0" w:history="1">
            <w:r w:rsidRPr="006901BD">
              <w:rPr>
                <w:rStyle w:val="Hyperlink"/>
                <w:rFonts w:ascii="Century Gothic" w:eastAsia="Century Gothic" w:hAnsi="Century Gothic" w:cs="Century Gothic"/>
                <w:noProof/>
                <w:sz w:val="20"/>
                <w:szCs w:val="20"/>
                <w:lang w:val="en-US"/>
              </w:rPr>
              <w:t>2.1</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management systems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_Toc222211250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38699D4F" w14:textId="4A278E1F"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1" w:history="1">
            <w:r w:rsidRPr="006901BD">
              <w:rPr>
                <w:rStyle w:val="Hyperlink"/>
                <w:rFonts w:ascii="Century Gothic" w:eastAsia="Century Gothic" w:hAnsi="Century Gothic" w:cs="Century Gothic"/>
                <w:noProof/>
                <w:sz w:val="20"/>
                <w:szCs w:val="20"/>
                <w:lang w:val="de-AT"/>
              </w:rPr>
              <w:t>2.2</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Technical requirements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_Toc222211251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46C4AFF3" w14:textId="67024570"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2" w:history="1">
            <w:r w:rsidRPr="006901BD">
              <w:rPr>
                <w:rStyle w:val="Hyperlink"/>
                <w:rFonts w:ascii="Century Gothic" w:eastAsia="Century Gothic" w:hAnsi="Century Gothic" w:cs="Century Gothic"/>
                <w:noProof/>
                <w:sz w:val="20"/>
                <w:szCs w:val="20"/>
                <w:lang w:val="de-AT"/>
              </w:rPr>
              <w:t>2.3</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Planning, testing, and documentation</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_Toc222211252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029EC55D" w14:textId="63F7B039"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3" w:history="1">
            <w:r w:rsidRPr="006901BD">
              <w:rPr>
                <w:rStyle w:val="Hyperlink"/>
                <w:rFonts w:ascii="Century Gothic" w:eastAsia="Century Gothic" w:hAnsi="Century Gothic" w:cs="Century Gothic"/>
                <w:noProof/>
                <w:sz w:val="20"/>
                <w:szCs w:val="20"/>
                <w:lang w:val="de-AT"/>
              </w:rPr>
              <w:t>2.4</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Deadlines and delivery delays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_Toc222211253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0062A39" w14:textId="49A9AAB6"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4" w:history="1">
            <w:r w:rsidRPr="006901BD">
              <w:rPr>
                <w:rStyle w:val="Hyperlink"/>
                <w:rFonts w:ascii="Century Gothic" w:eastAsia="Century Gothic" w:hAnsi="Century Gothic" w:cs="Century Gothic"/>
                <w:noProof/>
                <w:sz w:val="20"/>
                <w:szCs w:val="20"/>
                <w:lang w:val="de-AT"/>
              </w:rPr>
              <w:t>2.5</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Goods issue and delivery condition</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_Toc222211254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78E9158" w14:textId="5CFA5B75"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55" w:history="1">
            <w:r w:rsidRPr="006901BD">
              <w:rPr>
                <w:rStyle w:val="Hyperlink"/>
                <w:rFonts w:ascii="Century Gothic" w:eastAsia="Century Gothic" w:hAnsi="Century Gothic" w:cs="Century Gothic"/>
                <w:noProof/>
                <w:sz w:val="20"/>
                <w:szCs w:val="20"/>
                <w:lang w:val="de-AT"/>
              </w:rPr>
              <w:t>2.6</w:t>
            </w:r>
            <w:r w:rsidRPr="006901BD">
              <w:rPr>
                <w:rFonts w:ascii="Century Gothic" w:hAnsi="Century Gothic" w:cstheme="minorBidi"/>
                <w:noProof/>
                <w:kern w:val="2"/>
                <w:sz w:val="20"/>
                <w:szCs w:val="20"/>
                <w14:ligatures w14:val="standardContextual"/>
              </w:rPr>
              <w:tab/>
            </w:r>
            <w:r w:rsidRPr="006901BD">
              <w:rPr>
                <w:rStyle w:val="Hyperlink"/>
                <w:rFonts w:ascii="Century Gothic" w:eastAsia="Century Gothic" w:hAnsi="Century Gothic" w:cs="Century Gothic"/>
                <w:noProof/>
                <w:sz w:val="20"/>
                <w:szCs w:val="20"/>
                <w:lang w:val="de-AT"/>
              </w:rPr>
              <w:t>Subcontractors</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_Toc222211255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7</w:t>
            </w:r>
            <w:r w:rsidRPr="006901BD">
              <w:rPr>
                <w:rFonts w:ascii="Century Gothic" w:hAnsi="Century Gothic"/>
                <w:noProof/>
                <w:webHidden/>
                <w:sz w:val="20"/>
                <w:szCs w:val="20"/>
              </w:rPr>
              <w:fldChar w:fldCharType="end"/>
            </w:r>
          </w:hyperlink>
        </w:p>
        <w:p w14:paraId="236AB623" w14:textId="3552CD68" w:rsidR="002F7A20" w:rsidRPr="006901BD" w:rsidRDefault="002F7A20" w:rsidP="006901BD">
          <w:pPr>
            <w:pStyle w:val="Verzeichnis1"/>
            <w:rPr>
              <w:rFonts w:cstheme="minorBidi"/>
              <w:kern w:val="2"/>
              <w14:ligatures w14:val="standardContextual"/>
            </w:rPr>
          </w:pPr>
          <w:hyperlink w:anchor="_Toc222211256" w:history="1">
            <w:r w:rsidRPr="006901BD">
              <w:rPr>
                <w:rStyle w:val="Hyperlink"/>
              </w:rPr>
              <w:t>3</w:t>
            </w:r>
            <w:r w:rsidRPr="006901BD">
              <w:rPr>
                <w:rFonts w:cstheme="minorBidi"/>
                <w:kern w:val="2"/>
                <w14:ligatures w14:val="standardContextual"/>
              </w:rPr>
              <w:tab/>
            </w:r>
            <w:r w:rsidRPr="006901BD">
              <w:rPr>
                <w:rStyle w:val="Hyperlink"/>
              </w:rPr>
              <w:t>Deviations and complaints</w:t>
            </w:r>
            <w:r w:rsidRPr="006901BD">
              <w:rPr>
                <w:webHidden/>
              </w:rPr>
              <w:tab/>
            </w:r>
            <w:r w:rsidRPr="006901BD">
              <w:rPr>
                <w:webHidden/>
              </w:rPr>
              <w:fldChar w:fldCharType="begin"/>
            </w:r>
            <w:r w:rsidRPr="006901BD">
              <w:rPr>
                <w:webHidden/>
              </w:rPr>
              <w:instrText xml:space="preserve"> PAGEREF _Toc222211256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4FDA1609" w14:textId="1BBFB66F" w:rsidR="002F7A20" w:rsidRPr="006901BD" w:rsidRDefault="002F7A20" w:rsidP="006901BD">
          <w:pPr>
            <w:pStyle w:val="Verzeichnis1"/>
            <w:rPr>
              <w:rFonts w:cstheme="minorBidi"/>
              <w:kern w:val="2"/>
              <w14:ligatures w14:val="standardContextual"/>
            </w:rPr>
          </w:pPr>
          <w:hyperlink w:anchor="_Toc222211257" w:history="1">
            <w:r w:rsidRPr="006901BD">
              <w:rPr>
                <w:rStyle w:val="Hyperlink"/>
              </w:rPr>
              <w:t>4</w:t>
            </w:r>
            <w:r w:rsidRPr="006901BD">
              <w:rPr>
                <w:rFonts w:cstheme="minorBidi"/>
                <w:kern w:val="2"/>
                <w14:ligatures w14:val="standardContextual"/>
              </w:rPr>
              <w:tab/>
            </w:r>
            <w:r w:rsidRPr="006901BD">
              <w:rPr>
                <w:rStyle w:val="Hyperlink"/>
              </w:rPr>
              <w:t>Audit and information rights</w:t>
            </w:r>
            <w:r w:rsidRPr="006901BD">
              <w:rPr>
                <w:webHidden/>
              </w:rPr>
              <w:tab/>
            </w:r>
            <w:r w:rsidRPr="006901BD">
              <w:rPr>
                <w:webHidden/>
              </w:rPr>
              <w:fldChar w:fldCharType="begin"/>
            </w:r>
            <w:r w:rsidRPr="006901BD">
              <w:rPr>
                <w:webHidden/>
              </w:rPr>
              <w:instrText xml:space="preserve"> PAGEREF _Toc222211257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7C8C2F62" w14:textId="6C91AE6D" w:rsidR="002F7A20" w:rsidRPr="006901BD" w:rsidRDefault="002F7A20" w:rsidP="006901BD">
          <w:pPr>
            <w:pStyle w:val="Verzeichnis1"/>
            <w:rPr>
              <w:rFonts w:cstheme="minorBidi"/>
              <w:kern w:val="2"/>
              <w14:ligatures w14:val="standardContextual"/>
            </w:rPr>
          </w:pPr>
          <w:hyperlink w:anchor="_Toc222211258" w:history="1">
            <w:r w:rsidRPr="006901BD">
              <w:rPr>
                <w:rStyle w:val="Hyperlink"/>
              </w:rPr>
              <w:t>5</w:t>
            </w:r>
            <w:r w:rsidRPr="006901BD">
              <w:rPr>
                <w:rFonts w:cstheme="minorBidi"/>
                <w:kern w:val="2"/>
                <w14:ligatures w14:val="standardContextual"/>
              </w:rPr>
              <w:tab/>
            </w:r>
            <w:r w:rsidRPr="006901BD">
              <w:rPr>
                <w:rStyle w:val="Hyperlink"/>
              </w:rPr>
              <w:t>Environment, safety, and sustainability</w:t>
            </w:r>
            <w:r w:rsidRPr="006901BD">
              <w:rPr>
                <w:webHidden/>
              </w:rPr>
              <w:tab/>
            </w:r>
            <w:r w:rsidRPr="006901BD">
              <w:rPr>
                <w:webHidden/>
              </w:rPr>
              <w:fldChar w:fldCharType="begin"/>
            </w:r>
            <w:r w:rsidRPr="006901BD">
              <w:rPr>
                <w:webHidden/>
              </w:rPr>
              <w:instrText xml:space="preserve"> PAGEREF _Toc222211258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2902B3D2" w14:textId="6BBF3B02" w:rsidR="002F7A20" w:rsidRPr="006901BD" w:rsidRDefault="002F7A20" w:rsidP="006901BD">
          <w:pPr>
            <w:pStyle w:val="Verzeichnis1"/>
            <w:rPr>
              <w:rFonts w:cstheme="minorBidi"/>
              <w:kern w:val="2"/>
              <w14:ligatures w14:val="standardContextual"/>
            </w:rPr>
          </w:pPr>
          <w:hyperlink w:anchor="_Toc222211259" w:history="1">
            <w:r w:rsidRPr="006901BD">
              <w:rPr>
                <w:rStyle w:val="Hyperlink"/>
              </w:rPr>
              <w:t>6</w:t>
            </w:r>
            <w:r w:rsidRPr="006901BD">
              <w:rPr>
                <w:rFonts w:cstheme="minorBidi"/>
                <w:kern w:val="2"/>
                <w14:ligatures w14:val="standardContextual"/>
              </w:rPr>
              <w:tab/>
            </w:r>
            <w:r w:rsidRPr="006901BD">
              <w:rPr>
                <w:rStyle w:val="Hyperlink"/>
              </w:rPr>
              <w:t>Performance and supplier evaluation</w:t>
            </w:r>
            <w:r w:rsidRPr="006901BD">
              <w:rPr>
                <w:webHidden/>
              </w:rPr>
              <w:tab/>
            </w:r>
            <w:r w:rsidRPr="006901BD">
              <w:rPr>
                <w:webHidden/>
              </w:rPr>
              <w:fldChar w:fldCharType="begin"/>
            </w:r>
            <w:r w:rsidRPr="006901BD">
              <w:rPr>
                <w:webHidden/>
              </w:rPr>
              <w:instrText xml:space="preserve"> PAGEREF _Toc222211259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67B94472" w14:textId="356606C2" w:rsidR="002F7A20" w:rsidRPr="006901BD" w:rsidRDefault="002F7A20" w:rsidP="006901BD">
          <w:pPr>
            <w:pStyle w:val="Verzeichnis1"/>
            <w:rPr>
              <w:rFonts w:cstheme="minorBidi"/>
              <w:kern w:val="2"/>
              <w14:ligatures w14:val="standardContextual"/>
            </w:rPr>
          </w:pPr>
          <w:hyperlink w:anchor="_Toc222211260" w:history="1">
            <w:r w:rsidRPr="006901BD">
              <w:rPr>
                <w:rStyle w:val="Hyperlink"/>
              </w:rPr>
              <w:t>7</w:t>
            </w:r>
            <w:r w:rsidRPr="006901BD">
              <w:rPr>
                <w:rFonts w:cstheme="minorBidi"/>
                <w:kern w:val="2"/>
                <w14:ligatures w14:val="standardContextual"/>
              </w:rPr>
              <w:tab/>
            </w:r>
            <w:r w:rsidRPr="006901BD">
              <w:rPr>
                <w:rStyle w:val="Hyperlink"/>
              </w:rPr>
              <w:t>Term and scope</w:t>
            </w:r>
            <w:r w:rsidRPr="006901BD">
              <w:rPr>
                <w:webHidden/>
              </w:rPr>
              <w:tab/>
            </w:r>
            <w:r w:rsidRPr="006901BD">
              <w:rPr>
                <w:webHidden/>
              </w:rPr>
              <w:fldChar w:fldCharType="begin"/>
            </w:r>
            <w:r w:rsidRPr="006901BD">
              <w:rPr>
                <w:webHidden/>
              </w:rPr>
              <w:instrText xml:space="preserve"> PAGEREF _Toc222211260 \h </w:instrText>
            </w:r>
            <w:r w:rsidRPr="006901BD">
              <w:rPr>
                <w:webHidden/>
              </w:rPr>
            </w:r>
            <w:r w:rsidRPr="006901BD">
              <w:rPr>
                <w:webHidden/>
              </w:rPr>
              <w:fldChar w:fldCharType="separate"/>
            </w:r>
            <w:r w:rsidRPr="006901BD">
              <w:rPr>
                <w:webHidden/>
              </w:rPr>
              <w:t>8</w:t>
            </w:r>
            <w:r w:rsidRPr="006901BD">
              <w:rPr>
                <w:webHidden/>
              </w:rPr>
              <w:fldChar w:fldCharType="end"/>
            </w:r>
          </w:hyperlink>
        </w:p>
        <w:p w14:paraId="4983BC5B" w14:textId="698BA220" w:rsidR="002F7A20" w:rsidRPr="006901BD" w:rsidRDefault="002F7A20">
          <w:pPr>
            <w:pStyle w:val="Verzeichnis2"/>
            <w:rPr>
              <w:rFonts w:ascii="Century Gothic" w:hAnsi="Century Gothic" w:cstheme="minorBidi"/>
              <w:noProof/>
              <w:kern w:val="2"/>
              <w:sz w:val="20"/>
              <w:szCs w:val="20"/>
              <w14:ligatures w14:val="standardContextual"/>
            </w:rPr>
          </w:pPr>
          <w:hyperlink w:anchor="_Toc222211261" w:history="1">
            <w:r w:rsidRPr="006901BD">
              <w:rPr>
                <w:rStyle w:val="Hyperlink"/>
                <w:rFonts w:ascii="Century Gothic" w:hAnsi="Century Gothic"/>
                <w:noProof/>
                <w:sz w:val="20"/>
                <w:szCs w:val="20"/>
              </w:rPr>
              <w:t>7.1</w:t>
            </w:r>
            <w:r w:rsidRPr="006901BD">
              <w:rPr>
                <w:rFonts w:ascii="Century Gothic" w:hAnsi="Century Gothic" w:cstheme="minorBidi"/>
                <w:noProof/>
                <w:kern w:val="2"/>
                <w:sz w:val="20"/>
                <w:szCs w:val="20"/>
                <w14:ligatures w14:val="standardContextual"/>
              </w:rPr>
              <w:tab/>
            </w:r>
            <w:r w:rsidRPr="006901BD">
              <w:rPr>
                <w:rStyle w:val="Hyperlink"/>
                <w:rFonts w:ascii="Century Gothic" w:hAnsi="Century Gothic"/>
                <w:noProof/>
                <w:sz w:val="20"/>
                <w:szCs w:val="20"/>
              </w:rPr>
              <w:t>Approval</w:t>
            </w:r>
            <w:r w:rsidRPr="006901BD">
              <w:rPr>
                <w:rFonts w:ascii="Century Gothic" w:hAnsi="Century Gothic"/>
                <w:noProof/>
                <w:webHidden/>
                <w:sz w:val="20"/>
                <w:szCs w:val="20"/>
              </w:rPr>
              <w:tab/>
            </w:r>
            <w:r w:rsidRPr="006901BD">
              <w:rPr>
                <w:rFonts w:ascii="Century Gothic" w:hAnsi="Century Gothic"/>
                <w:noProof/>
                <w:webHidden/>
                <w:sz w:val="20"/>
                <w:szCs w:val="20"/>
              </w:rPr>
              <w:fldChar w:fldCharType="begin"/>
            </w:r>
            <w:r w:rsidRPr="006901BD">
              <w:rPr>
                <w:rFonts w:ascii="Century Gothic" w:hAnsi="Century Gothic"/>
                <w:noProof/>
                <w:webHidden/>
                <w:sz w:val="20"/>
                <w:szCs w:val="20"/>
              </w:rPr>
              <w:instrText xml:space="preserve"> PAGEREF _Toc222211261 \h </w:instrText>
            </w:r>
            <w:r w:rsidRPr="006901BD">
              <w:rPr>
                <w:rFonts w:ascii="Century Gothic" w:hAnsi="Century Gothic"/>
                <w:noProof/>
                <w:webHidden/>
                <w:sz w:val="20"/>
                <w:szCs w:val="20"/>
              </w:rPr>
            </w:r>
            <w:r w:rsidRPr="006901BD">
              <w:rPr>
                <w:rFonts w:ascii="Century Gothic" w:hAnsi="Century Gothic"/>
                <w:noProof/>
                <w:webHidden/>
                <w:sz w:val="20"/>
                <w:szCs w:val="20"/>
              </w:rPr>
              <w:fldChar w:fldCharType="separate"/>
            </w:r>
            <w:r w:rsidRPr="006901BD">
              <w:rPr>
                <w:rFonts w:ascii="Century Gothic" w:hAnsi="Century Gothic"/>
                <w:noProof/>
                <w:webHidden/>
                <w:sz w:val="20"/>
                <w:szCs w:val="20"/>
              </w:rPr>
              <w:t>8</w:t>
            </w:r>
            <w:r w:rsidRPr="006901BD">
              <w:rPr>
                <w:rFonts w:ascii="Century Gothic" w:hAnsi="Century Gothic"/>
                <w:noProof/>
                <w:webHidden/>
                <w:sz w:val="20"/>
                <w:szCs w:val="20"/>
              </w:rPr>
              <w:fldChar w:fldCharType="end"/>
            </w:r>
          </w:hyperlink>
        </w:p>
        <w:p w14:paraId="05535576" w14:textId="5DDDBAF6" w:rsidR="002D4152" w:rsidRPr="00E9666F" w:rsidRDefault="002D4152" w:rsidP="002D4152">
          <w:pPr>
            <w:pStyle w:val="Verzeichnis3"/>
            <w:tabs>
              <w:tab w:val="left" w:pos="1095"/>
              <w:tab w:val="right" w:leader="dot" w:pos="10365"/>
            </w:tabs>
            <w:rPr>
              <w:noProof/>
              <w:color w:val="467886" w:themeColor="hyperlink"/>
              <w:kern w:val="2"/>
              <w:u w:val="single"/>
              <w14:ligatures w14:val="standardContextual"/>
            </w:rPr>
          </w:pPr>
          <w:r>
            <w:fldChar w:fldCharType="end"/>
          </w:r>
        </w:p>
      </w:sdtContent>
    </w:sdt>
    <w:p w14:paraId="69025134" w14:textId="77777777" w:rsidR="002D4152" w:rsidRPr="002D4152" w:rsidRDefault="002D4152">
      <w:pPr>
        <w:pStyle w:val="berschrift1"/>
        <w:numPr>
          <w:ilvl w:val="0"/>
          <w:numId w:val="7"/>
        </w:numPr>
        <w:spacing w:before="0" w:after="0"/>
        <w:rPr>
          <w:rFonts w:eastAsia="Century Gothic" w:cs="Century Gothic"/>
          <w:szCs w:val="24"/>
          <w:lang w:val="de-AT"/>
        </w:rPr>
      </w:pPr>
      <w:bookmarkStart w:id="19" w:name="_Toc222211244"/>
      <w:r w:rsidRPr="002D4152">
        <w:rPr>
          <w:rFonts w:eastAsia="Century Gothic" w:cs="Century Gothic"/>
          <w:szCs w:val="24"/>
          <w:lang w:val="de-AT"/>
        </w:rPr>
        <w:t>General</w:t>
      </w:r>
      <w:bookmarkEnd w:id="19"/>
    </w:p>
    <w:p w14:paraId="2F560953" w14:textId="77777777" w:rsidR="00AC0214" w:rsidRPr="00AC0214" w:rsidRDefault="00AC0214" w:rsidP="00AC0214">
      <w:pPr>
        <w:pStyle w:val="StandardWeb"/>
        <w:spacing w:before="0" w:beforeAutospacing="0" w:after="0" w:afterAutospacing="0"/>
        <w:rPr>
          <w:rFonts w:ascii="Century Gothic" w:eastAsiaTheme="minorHAnsi" w:hAnsi="Century Gothic" w:cstheme="minorBidi"/>
          <w:sz w:val="20"/>
          <w:szCs w:val="22"/>
          <w:lang w:val="en-US" w:eastAsia="en-US"/>
        </w:rPr>
      </w:pPr>
      <w:r w:rsidRPr="00AC0214">
        <w:rPr>
          <w:rFonts w:ascii="Century Gothic" w:eastAsiaTheme="minorHAnsi" w:hAnsi="Century Gothic" w:cstheme="minorBidi"/>
          <w:sz w:val="20"/>
          <w:szCs w:val="22"/>
          <w:lang w:val="en-US" w:eastAsia="en-US"/>
        </w:rPr>
        <w:t>This Quality Assurance Agreement (QAA) supplements existing contractual agreements between SMB and the supplier with regard to quality-related requirements.</w:t>
      </w:r>
    </w:p>
    <w:p w14:paraId="12B0913E" w14:textId="77777777" w:rsidR="00AC0214" w:rsidRPr="00AC0214" w:rsidRDefault="00AC0214" w:rsidP="00AC0214">
      <w:pPr>
        <w:pStyle w:val="StandardWeb"/>
        <w:spacing w:before="0" w:beforeAutospacing="0" w:after="0" w:afterAutospacing="0"/>
        <w:rPr>
          <w:rFonts w:ascii="Century Gothic" w:eastAsiaTheme="minorHAnsi" w:hAnsi="Century Gothic" w:cstheme="minorBidi"/>
          <w:sz w:val="20"/>
          <w:szCs w:val="22"/>
          <w:lang w:val="en-US" w:eastAsia="en-US"/>
        </w:rPr>
      </w:pPr>
      <w:r w:rsidRPr="00AC0214">
        <w:rPr>
          <w:rFonts w:ascii="Century Gothic" w:eastAsiaTheme="minorHAnsi" w:hAnsi="Century Gothic" w:cstheme="minorBidi"/>
          <w:sz w:val="20"/>
          <w:szCs w:val="22"/>
          <w:lang w:val="en-US" w:eastAsia="en-US"/>
        </w:rPr>
        <w:t>If there are differing provisions in annual agreements, framework agreements, or individually agreed-upon contract terms, those provisions shall take precedence.</w:t>
      </w:r>
    </w:p>
    <w:p w14:paraId="1AC0B411" w14:textId="77777777" w:rsidR="00AC0214" w:rsidRPr="00AC0214" w:rsidRDefault="00AC0214" w:rsidP="00AC0214">
      <w:pPr>
        <w:pStyle w:val="StandardWeb"/>
        <w:spacing w:before="0" w:beforeAutospacing="0" w:after="0" w:afterAutospacing="0"/>
        <w:rPr>
          <w:rFonts w:ascii="Century Gothic" w:eastAsiaTheme="minorHAnsi" w:hAnsi="Century Gothic" w:cstheme="minorBidi"/>
          <w:sz w:val="20"/>
          <w:szCs w:val="22"/>
          <w:lang w:val="en-US" w:eastAsia="en-US"/>
        </w:rPr>
      </w:pPr>
      <w:r w:rsidRPr="00AC0214">
        <w:rPr>
          <w:rFonts w:ascii="Century Gothic" w:eastAsiaTheme="minorHAnsi" w:hAnsi="Century Gothic" w:cstheme="minorBidi"/>
          <w:sz w:val="20"/>
          <w:szCs w:val="22"/>
          <w:lang w:val="en-US" w:eastAsia="en-US"/>
        </w:rPr>
        <w:t>Non-applicable requirements, product-specific additions, technical clarifications, or supplementary agreements may be regulated additionally via mutually agreed side letters.</w:t>
      </w:r>
    </w:p>
    <w:p w14:paraId="2D9F472B" w14:textId="77777777" w:rsidR="002D4152" w:rsidRPr="00860467" w:rsidRDefault="002D4152" w:rsidP="002D4152">
      <w:pPr>
        <w:jc w:val="left"/>
        <w:rPr>
          <w:lang w:val="en-US"/>
        </w:rPr>
      </w:pPr>
    </w:p>
    <w:p w14:paraId="5279F86A" w14:textId="77777777" w:rsidR="002D4152" w:rsidRDefault="002D4152" w:rsidP="002D4152">
      <w:pPr>
        <w:pStyle w:val="berschrift2"/>
        <w:spacing w:before="0" w:after="0"/>
        <w:rPr>
          <w:rFonts w:eastAsia="Century Gothic" w:cs="Century Gothic"/>
          <w:szCs w:val="24"/>
          <w:lang w:val="de-AT"/>
        </w:rPr>
      </w:pPr>
      <w:bookmarkStart w:id="20" w:name="_Toc222211245"/>
      <w:r w:rsidRPr="0A5FACF1">
        <w:rPr>
          <w:rFonts w:eastAsia="Century Gothic" w:cs="Century Gothic"/>
          <w:szCs w:val="24"/>
          <w:lang w:val="de-AT"/>
        </w:rPr>
        <w:t>Purpose</w:t>
      </w:r>
      <w:bookmarkEnd w:id="20"/>
    </w:p>
    <w:p w14:paraId="50AD38B2" w14:textId="77777777" w:rsidR="00335BE8" w:rsidRPr="00335BE8" w:rsidRDefault="00335BE8" w:rsidP="00335BE8">
      <w:pPr>
        <w:rPr>
          <w:lang w:val="en-US"/>
        </w:rPr>
      </w:pPr>
      <w:r w:rsidRPr="00335BE8">
        <w:rPr>
          <w:lang w:val="en-US"/>
        </w:rPr>
        <w:t>The purpose of this Quality Assurance Agreement (QAA) is to establish binding requirements for suppliers to SMB Industrieanlagenbau GmbH in order to ensure stable, on-time, and quality-assured procurement in plant engineering.</w:t>
      </w:r>
    </w:p>
    <w:p w14:paraId="2064DAFC" w14:textId="77777777" w:rsidR="00335BE8" w:rsidRPr="00335BE8" w:rsidRDefault="00335BE8" w:rsidP="00335BE8">
      <w:pPr>
        <w:rPr>
          <w:lang w:val="en-US"/>
        </w:rPr>
      </w:pPr>
      <w:r w:rsidRPr="00335BE8">
        <w:rPr>
          <w:lang w:val="en-US"/>
        </w:rPr>
        <w:t>The agreement serves in particular to:</w:t>
      </w:r>
    </w:p>
    <w:p w14:paraId="5831B29D" w14:textId="77777777" w:rsidR="00335BE8" w:rsidRPr="00335BE8" w:rsidRDefault="00335BE8" w:rsidP="00335BE8">
      <w:pPr>
        <w:numPr>
          <w:ilvl w:val="0"/>
          <w:numId w:val="14"/>
        </w:numPr>
        <w:rPr>
          <w:lang w:val="en-US"/>
        </w:rPr>
      </w:pPr>
      <w:r w:rsidRPr="00335BE8">
        <w:rPr>
          <w:lang w:val="en-US"/>
        </w:rPr>
        <w:t>Prevent quality defects throughout the supply chain</w:t>
      </w:r>
    </w:p>
    <w:p w14:paraId="059E0C4D" w14:textId="77777777" w:rsidR="00335BE8" w:rsidRPr="00335BE8" w:rsidRDefault="00335BE8" w:rsidP="00335BE8">
      <w:pPr>
        <w:numPr>
          <w:ilvl w:val="0"/>
          <w:numId w:val="14"/>
        </w:numPr>
        <w:rPr>
          <w:lang w:val="en-US"/>
        </w:rPr>
      </w:pPr>
      <w:r w:rsidRPr="00335BE8">
        <w:rPr>
          <w:lang w:val="en-US"/>
        </w:rPr>
        <w:t>Reduce complaints, rework, and project delays</w:t>
      </w:r>
    </w:p>
    <w:p w14:paraId="1B4AA298" w14:textId="77777777" w:rsidR="00335BE8" w:rsidRPr="00335BE8" w:rsidRDefault="00335BE8" w:rsidP="00335BE8">
      <w:pPr>
        <w:numPr>
          <w:ilvl w:val="0"/>
          <w:numId w:val="14"/>
        </w:numPr>
        <w:rPr>
          <w:lang w:val="en-US"/>
        </w:rPr>
      </w:pPr>
      <w:r w:rsidRPr="00335BE8">
        <w:rPr>
          <w:lang w:val="en-US"/>
        </w:rPr>
        <w:t>Ensure complete and structured quality documentation</w:t>
      </w:r>
    </w:p>
    <w:p w14:paraId="194C52AD" w14:textId="77777777" w:rsidR="00335BE8" w:rsidRPr="00335BE8" w:rsidRDefault="00335BE8" w:rsidP="00335BE8">
      <w:pPr>
        <w:numPr>
          <w:ilvl w:val="0"/>
          <w:numId w:val="14"/>
        </w:numPr>
        <w:rPr>
          <w:lang w:val="en-US"/>
        </w:rPr>
      </w:pPr>
      <w:r w:rsidRPr="00335BE8">
        <w:rPr>
          <w:lang w:val="en-US"/>
        </w:rPr>
        <w:t>Clearly define responsibilities between SMB and the supplier</w:t>
      </w:r>
    </w:p>
    <w:p w14:paraId="200C65D4" w14:textId="77777777" w:rsidR="00335BE8" w:rsidRPr="00335BE8" w:rsidRDefault="00335BE8" w:rsidP="00335BE8">
      <w:pPr>
        <w:numPr>
          <w:ilvl w:val="0"/>
          <w:numId w:val="14"/>
        </w:numPr>
        <w:rPr>
          <w:lang w:val="en-US"/>
        </w:rPr>
      </w:pPr>
      <w:r w:rsidRPr="00335BE8">
        <w:rPr>
          <w:lang w:val="en-US"/>
        </w:rPr>
        <w:t>Regulate general organizational and quality requirements throughout the collaboration</w:t>
      </w:r>
    </w:p>
    <w:p w14:paraId="01730704" w14:textId="77777777" w:rsidR="00335BE8" w:rsidRPr="00335BE8" w:rsidRDefault="00335BE8" w:rsidP="00335BE8">
      <w:pPr>
        <w:rPr>
          <w:lang w:val="en-US"/>
        </w:rPr>
      </w:pPr>
    </w:p>
    <w:p w14:paraId="3F487FB5" w14:textId="77777777" w:rsidR="002D4152" w:rsidRDefault="002D4152" w:rsidP="002D4152">
      <w:pPr>
        <w:pStyle w:val="berschrift2"/>
        <w:spacing w:before="0" w:after="0"/>
        <w:rPr>
          <w:rFonts w:eastAsia="Century Gothic" w:cs="Century Gothic"/>
          <w:szCs w:val="24"/>
          <w:lang w:val="de-AT"/>
        </w:rPr>
      </w:pPr>
      <w:bookmarkStart w:id="21" w:name="_Toc222211246"/>
      <w:r w:rsidRPr="0A5FACF1">
        <w:rPr>
          <w:rFonts w:eastAsia="Century Gothic" w:cs="Century Gothic"/>
          <w:szCs w:val="24"/>
          <w:lang w:val="de-AT"/>
        </w:rPr>
        <w:t>Objective</w:t>
      </w:r>
      <w:bookmarkEnd w:id="21"/>
    </w:p>
    <w:p w14:paraId="5B5811A7" w14:textId="77777777" w:rsidR="002D4152" w:rsidRPr="00860467" w:rsidRDefault="002D4152" w:rsidP="002D4152">
      <w:pPr>
        <w:rPr>
          <w:rFonts w:eastAsia="Century Gothic" w:cs="Century Gothic"/>
          <w:szCs w:val="20"/>
          <w:lang w:val="en-US"/>
        </w:rPr>
      </w:pPr>
      <w:r w:rsidRPr="00860467">
        <w:rPr>
          <w:rFonts w:eastAsia="Century Gothic" w:cs="Century Gothic"/>
          <w:szCs w:val="20"/>
          <w:lang w:val="en-US"/>
        </w:rPr>
        <w:t>The objective of this SMR is to ensure that:</w:t>
      </w:r>
    </w:p>
    <w:p w14:paraId="5CAA17C5"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t>only products that comply with specifications, have been tested, and are documented are delivered</w:t>
      </w:r>
    </w:p>
    <w:p w14:paraId="045ED42F"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t>delivery dates are met and deviations are communicated at an early stage</w:t>
      </w:r>
    </w:p>
    <w:p w14:paraId="44FECCF7"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t>the delivery condition, cleanliness, and packaging comply with SMB specifications</w:t>
      </w:r>
    </w:p>
    <w:p w14:paraId="7E09FAEA"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lastRenderedPageBreak/>
        <w:t>quality documentation is transmitted in a complete, correct, and machine-readable form</w:t>
      </w:r>
    </w:p>
    <w:p w14:paraId="5FEBE562"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t>Suppliers can be evaluated and developed in a structured manner</w:t>
      </w:r>
    </w:p>
    <w:p w14:paraId="77CBBC89" w14:textId="77777777" w:rsidR="002D4152" w:rsidRPr="00860467" w:rsidRDefault="002D4152">
      <w:pPr>
        <w:numPr>
          <w:ilvl w:val="0"/>
          <w:numId w:val="4"/>
        </w:numPr>
        <w:rPr>
          <w:rFonts w:eastAsia="Century Gothic" w:cs="Century Gothic"/>
          <w:szCs w:val="20"/>
          <w:lang w:val="en-US"/>
        </w:rPr>
      </w:pPr>
      <w:r w:rsidRPr="00860467">
        <w:rPr>
          <w:rFonts w:eastAsia="Century Gothic" w:cs="Century Gothic"/>
          <w:szCs w:val="20"/>
          <w:lang w:val="en-US"/>
        </w:rPr>
        <w:t>Environmental, safety, and sustainability requirements are met along the supply chain</w:t>
      </w:r>
    </w:p>
    <w:p w14:paraId="5E0CCF1A" w14:textId="77777777" w:rsidR="002D4152" w:rsidRPr="00860467" w:rsidRDefault="002D4152" w:rsidP="002D4152">
      <w:pPr>
        <w:rPr>
          <w:lang w:val="en-US"/>
        </w:rPr>
      </w:pPr>
      <w:r w:rsidRPr="00860467">
        <w:rPr>
          <w:rFonts w:eastAsia="Century Gothic" w:cs="Century Gothic"/>
          <w:szCs w:val="20"/>
          <w:lang w:val="en-US"/>
        </w:rPr>
        <w:t xml:space="preserve"> </w:t>
      </w:r>
    </w:p>
    <w:p w14:paraId="13FC5E60" w14:textId="3C61627D" w:rsidR="00335BE8" w:rsidRPr="00335BE8" w:rsidRDefault="002D4152" w:rsidP="00335BE8">
      <w:pPr>
        <w:pStyle w:val="berschrift2"/>
        <w:spacing w:before="0" w:after="0"/>
        <w:rPr>
          <w:rFonts w:eastAsia="Century Gothic" w:cs="Century Gothic"/>
          <w:szCs w:val="24"/>
          <w:lang w:val="de-AT"/>
        </w:rPr>
      </w:pPr>
      <w:bookmarkStart w:id="22" w:name="_Toc222211247"/>
      <w:r w:rsidRPr="0A5FACF1">
        <w:rPr>
          <w:rFonts w:eastAsia="Century Gothic" w:cs="Century Gothic"/>
          <w:szCs w:val="24"/>
          <w:lang w:val="de-AT"/>
        </w:rPr>
        <w:t>Applicable documents</w:t>
      </w:r>
      <w:bookmarkEnd w:id="22"/>
    </w:p>
    <w:p w14:paraId="53BD5766" w14:textId="77777777" w:rsidR="00335BE8" w:rsidRPr="00335BE8" w:rsidRDefault="00335BE8" w:rsidP="00335BE8">
      <w:pPr>
        <w:ind w:left="720"/>
        <w:jc w:val="left"/>
        <w:rPr>
          <w:lang w:val="en-US"/>
        </w:rPr>
      </w:pPr>
      <w:r w:rsidRPr="00335BE8">
        <w:rPr>
          <w:lang w:val="en-US"/>
        </w:rPr>
        <w:t xml:space="preserve">The following documents serve as the binding basis for our collaboration and must be observed in their currently valid versions: </w:t>
      </w:r>
    </w:p>
    <w:p w14:paraId="21CECBAF" w14:textId="77777777" w:rsidR="00335BE8" w:rsidRPr="00335BE8" w:rsidRDefault="00335BE8" w:rsidP="00335BE8">
      <w:pPr>
        <w:numPr>
          <w:ilvl w:val="0"/>
          <w:numId w:val="15"/>
        </w:numPr>
        <w:jc w:val="left"/>
        <w:rPr>
          <w:lang w:val="en-US"/>
        </w:rPr>
      </w:pPr>
      <w:r w:rsidRPr="00335BE8">
        <w:rPr>
          <w:lang w:val="en-US"/>
        </w:rPr>
        <w:t>General Terms and Conditions of Purchase (GTCP) of the SMB Group</w:t>
      </w:r>
    </w:p>
    <w:p w14:paraId="1568B412" w14:textId="77777777" w:rsidR="00335BE8" w:rsidRPr="00335BE8" w:rsidRDefault="00335BE8" w:rsidP="00335BE8">
      <w:pPr>
        <w:numPr>
          <w:ilvl w:val="0"/>
          <w:numId w:val="15"/>
        </w:numPr>
        <w:jc w:val="left"/>
        <w:rPr>
          <w:lang w:val="en-US"/>
        </w:rPr>
      </w:pPr>
      <w:r w:rsidRPr="00335BE8">
        <w:rPr>
          <w:lang w:val="en-US"/>
        </w:rPr>
        <w:t>SMB Delivery Specification “Delivery Condition &amp; Cleanliness”</w:t>
      </w:r>
    </w:p>
    <w:p w14:paraId="6CD0D28E" w14:textId="77777777" w:rsidR="00335BE8" w:rsidRPr="00335BE8" w:rsidRDefault="00335BE8" w:rsidP="00335BE8">
      <w:pPr>
        <w:numPr>
          <w:ilvl w:val="0"/>
          <w:numId w:val="15"/>
        </w:numPr>
        <w:jc w:val="left"/>
        <w:rPr>
          <w:lang w:val="de-DE"/>
        </w:rPr>
      </w:pPr>
      <w:r w:rsidRPr="00335BE8">
        <w:rPr>
          <w:lang w:val="de-DE"/>
        </w:rPr>
        <w:t>SMB Supplier Code of Conduct</w:t>
      </w:r>
    </w:p>
    <w:p w14:paraId="222A7E62" w14:textId="77777777" w:rsidR="00335BE8" w:rsidRPr="00335BE8" w:rsidRDefault="00335BE8" w:rsidP="00335BE8">
      <w:pPr>
        <w:numPr>
          <w:ilvl w:val="0"/>
          <w:numId w:val="15"/>
        </w:numPr>
        <w:jc w:val="left"/>
        <w:rPr>
          <w:lang w:val="de-DE"/>
        </w:rPr>
      </w:pPr>
      <w:r w:rsidRPr="00335BE8">
        <w:rPr>
          <w:lang w:val="de-DE"/>
        </w:rPr>
        <w:t>Project-Specific Additional Requirements</w:t>
      </w:r>
    </w:p>
    <w:p w14:paraId="533F458D" w14:textId="77777777" w:rsidR="00335BE8" w:rsidRPr="00335BE8" w:rsidRDefault="00335BE8" w:rsidP="00335BE8">
      <w:pPr>
        <w:numPr>
          <w:ilvl w:val="0"/>
          <w:numId w:val="15"/>
        </w:numPr>
        <w:jc w:val="left"/>
        <w:rPr>
          <w:lang w:val="en-US"/>
        </w:rPr>
      </w:pPr>
      <w:r w:rsidRPr="00335BE8">
        <w:rPr>
          <w:lang w:val="en-US"/>
        </w:rPr>
        <w:t>Safety and Environmental Protection Guidelines for Activities in the SMB Assembly, Project, or Construction Site Environment</w:t>
      </w:r>
    </w:p>
    <w:p w14:paraId="11182DBB" w14:textId="77777777" w:rsidR="002D4152" w:rsidRPr="00DD7327" w:rsidRDefault="002D4152" w:rsidP="002D4152">
      <w:pPr>
        <w:ind w:left="720"/>
        <w:jc w:val="left"/>
        <w:rPr>
          <w:rFonts w:eastAsia="Century Gothic" w:cs="Century Gothic"/>
          <w:szCs w:val="20"/>
          <w:lang w:val="en-US"/>
        </w:rPr>
      </w:pPr>
    </w:p>
    <w:p w14:paraId="679F285C" w14:textId="77777777" w:rsidR="002D4152" w:rsidRPr="00D910C2" w:rsidRDefault="002D4152" w:rsidP="002D4152">
      <w:pPr>
        <w:pStyle w:val="berschrift2"/>
        <w:spacing w:before="0" w:after="0"/>
        <w:ind w:left="578" w:hanging="578"/>
        <w:rPr>
          <w:rFonts w:eastAsia="Century Gothic" w:cs="Century Gothic"/>
          <w:szCs w:val="24"/>
          <w:lang w:val="de-AT"/>
        </w:rPr>
      </w:pPr>
      <w:bookmarkStart w:id="23" w:name="_Toc222211248"/>
      <w:r w:rsidRPr="00D910C2">
        <w:rPr>
          <w:rFonts w:eastAsia="Century Gothic" w:cs="Century Gothic"/>
          <w:szCs w:val="24"/>
          <w:lang w:val="de-AT"/>
        </w:rPr>
        <w:t>Scope</w:t>
      </w:r>
      <w:bookmarkEnd w:id="23"/>
    </w:p>
    <w:p w14:paraId="702ABC9B" w14:textId="77777777" w:rsidR="00335BE8" w:rsidRPr="00335BE8" w:rsidRDefault="002D4152" w:rsidP="00335BE8">
      <w:pPr>
        <w:rPr>
          <w:rFonts w:eastAsia="Century Gothic" w:cs="Century Gothic"/>
          <w:szCs w:val="20"/>
          <w:lang w:val="en-US"/>
        </w:rPr>
      </w:pPr>
      <w:r w:rsidRPr="0A5FACF1">
        <w:rPr>
          <w:rFonts w:eastAsia="Century Gothic" w:cs="Century Gothic"/>
          <w:szCs w:val="20"/>
          <w:lang w:val="en-US"/>
        </w:rPr>
        <w:t xml:space="preserve"> </w:t>
      </w:r>
      <w:r w:rsidR="00335BE8" w:rsidRPr="00335BE8">
        <w:rPr>
          <w:rFonts w:eastAsia="Century Gothic" w:cs="Century Gothic"/>
          <w:szCs w:val="20"/>
          <w:lang w:val="en-US"/>
        </w:rPr>
        <w:t>This Quality Assurance Agreement applies to all suppliers who provide quality-relevant products, components, assemblies, materials, or services to SMB.</w:t>
      </w:r>
    </w:p>
    <w:p w14:paraId="32928CCE" w14:textId="77777777" w:rsidR="00335BE8" w:rsidRPr="00335BE8" w:rsidRDefault="00335BE8" w:rsidP="00335BE8">
      <w:pPr>
        <w:rPr>
          <w:rFonts w:eastAsia="Century Gothic" w:cs="Century Gothic"/>
          <w:szCs w:val="20"/>
          <w:lang w:val="en-US"/>
        </w:rPr>
      </w:pPr>
      <w:r w:rsidRPr="00335BE8">
        <w:rPr>
          <w:rFonts w:eastAsia="Century Gothic" w:cs="Century Gothic"/>
          <w:szCs w:val="20"/>
          <w:lang w:val="en-US"/>
        </w:rPr>
        <w:t>The QSA applies in particular to: This QSA applies provided that it is referenced in purchase orders, framework agreements, supplier approvals, or supplementary agreements.</w:t>
      </w:r>
    </w:p>
    <w:p w14:paraId="3B309679" w14:textId="77777777" w:rsidR="00335BE8" w:rsidRPr="00335BE8" w:rsidRDefault="00335BE8" w:rsidP="00335BE8">
      <w:pPr>
        <w:numPr>
          <w:ilvl w:val="0"/>
          <w:numId w:val="16"/>
        </w:numPr>
        <w:rPr>
          <w:rFonts w:eastAsia="Century Gothic" w:cs="Century Gothic"/>
          <w:szCs w:val="20"/>
          <w:lang w:val="de-DE"/>
        </w:rPr>
      </w:pPr>
      <w:r w:rsidRPr="00335BE8">
        <w:rPr>
          <w:rFonts w:eastAsia="Century Gothic" w:cs="Century Gothic"/>
          <w:szCs w:val="20"/>
          <w:lang w:val="de-DE"/>
        </w:rPr>
        <w:t>project-related deliveries</w:t>
      </w:r>
    </w:p>
    <w:p w14:paraId="52097F6A" w14:textId="77777777" w:rsidR="00335BE8" w:rsidRPr="00335BE8" w:rsidRDefault="00335BE8" w:rsidP="00335BE8">
      <w:pPr>
        <w:numPr>
          <w:ilvl w:val="0"/>
          <w:numId w:val="16"/>
        </w:numPr>
        <w:rPr>
          <w:rFonts w:eastAsia="Century Gothic" w:cs="Century Gothic"/>
          <w:szCs w:val="20"/>
          <w:lang w:val="de-DE"/>
        </w:rPr>
      </w:pPr>
      <w:r w:rsidRPr="00335BE8">
        <w:rPr>
          <w:rFonts w:eastAsia="Century Gothic" w:cs="Century Gothic"/>
          <w:szCs w:val="20"/>
          <w:lang w:val="de-DE"/>
        </w:rPr>
        <w:t>assemblies</w:t>
      </w:r>
    </w:p>
    <w:p w14:paraId="5169EF15" w14:textId="77777777" w:rsidR="00335BE8" w:rsidRPr="00335BE8" w:rsidRDefault="00335BE8" w:rsidP="00335BE8">
      <w:pPr>
        <w:numPr>
          <w:ilvl w:val="0"/>
          <w:numId w:val="16"/>
        </w:numPr>
        <w:rPr>
          <w:rFonts w:eastAsia="Century Gothic" w:cs="Century Gothic"/>
          <w:szCs w:val="20"/>
          <w:lang w:val="de-DE"/>
        </w:rPr>
      </w:pPr>
      <w:r w:rsidRPr="00335BE8">
        <w:rPr>
          <w:rFonts w:eastAsia="Century Gothic" w:cs="Century Gothic"/>
          <w:szCs w:val="20"/>
          <w:lang w:val="de-DE"/>
        </w:rPr>
        <w:t>skids</w:t>
      </w:r>
    </w:p>
    <w:p w14:paraId="6805CFD8" w14:textId="77777777" w:rsidR="00335BE8" w:rsidRPr="00335BE8" w:rsidRDefault="00335BE8" w:rsidP="00335BE8">
      <w:pPr>
        <w:numPr>
          <w:ilvl w:val="0"/>
          <w:numId w:val="16"/>
        </w:numPr>
        <w:rPr>
          <w:rFonts w:eastAsia="Century Gothic" w:cs="Century Gothic"/>
          <w:szCs w:val="20"/>
          <w:lang w:val="de-DE"/>
        </w:rPr>
      </w:pPr>
      <w:r w:rsidRPr="00335BE8">
        <w:rPr>
          <w:rFonts w:eastAsia="Century Gothic" w:cs="Century Gothic"/>
          <w:szCs w:val="20"/>
          <w:lang w:val="de-DE"/>
        </w:rPr>
        <w:t>bulk and non-bulk materials</w:t>
      </w:r>
    </w:p>
    <w:p w14:paraId="319C528F" w14:textId="763AEE68" w:rsidR="00FA720B" w:rsidRPr="00FA720B" w:rsidRDefault="00335BE8" w:rsidP="00FA720B">
      <w:pPr>
        <w:numPr>
          <w:ilvl w:val="0"/>
          <w:numId w:val="16"/>
        </w:numPr>
        <w:rPr>
          <w:rFonts w:eastAsia="Century Gothic" w:cs="Century Gothic"/>
          <w:szCs w:val="20"/>
          <w:lang w:val="de-DE"/>
        </w:rPr>
      </w:pPr>
      <w:r w:rsidRPr="00335BE8">
        <w:rPr>
          <w:rFonts w:eastAsia="Century Gothic" w:cs="Century Gothic"/>
          <w:szCs w:val="20"/>
          <w:lang w:val="de-DE"/>
        </w:rPr>
        <w:t>quality-relevant services</w:t>
      </w:r>
    </w:p>
    <w:p w14:paraId="268DAFCD" w14:textId="1AB0EAEC" w:rsidR="002D4152" w:rsidRPr="00860467" w:rsidRDefault="002D4152" w:rsidP="00335BE8">
      <w:pPr>
        <w:rPr>
          <w:lang w:val="en-US"/>
        </w:rPr>
      </w:pPr>
    </w:p>
    <w:p w14:paraId="249E1D42" w14:textId="77777777" w:rsidR="002D4152" w:rsidRPr="00C965B3" w:rsidRDefault="002D4152" w:rsidP="002D4152">
      <w:pPr>
        <w:pStyle w:val="berschrift1"/>
        <w:spacing w:before="0" w:after="0"/>
        <w:ind w:left="431" w:hanging="431"/>
        <w:rPr>
          <w:rFonts w:eastAsia="Century Gothic" w:cs="Century Gothic"/>
          <w:szCs w:val="24"/>
          <w:lang w:val="de-AT"/>
        </w:rPr>
      </w:pPr>
      <w:bookmarkStart w:id="24" w:name="_Toc222211249"/>
      <w:r w:rsidRPr="00C965B3">
        <w:rPr>
          <w:rFonts w:eastAsia="Century Gothic" w:cs="Century Gothic"/>
          <w:szCs w:val="24"/>
          <w:lang w:val="de-AT"/>
        </w:rPr>
        <w:t>Responsibility of the supplier</w:t>
      </w:r>
      <w:bookmarkEnd w:id="24"/>
      <w:r w:rsidRPr="00C965B3">
        <w:rPr>
          <w:rFonts w:eastAsia="Century Gothic" w:cs="Century Gothic"/>
          <w:szCs w:val="24"/>
          <w:lang w:val="de-AT"/>
        </w:rPr>
        <w:t xml:space="preserve"> </w:t>
      </w:r>
    </w:p>
    <w:p w14:paraId="55CC29AE" w14:textId="77777777" w:rsidR="00335BE8" w:rsidRPr="00335BE8" w:rsidRDefault="00335BE8" w:rsidP="00335BE8">
      <w:pPr>
        <w:pStyle w:val="KeinLeerraum"/>
        <w:rPr>
          <w:lang w:val="en-US"/>
        </w:rPr>
      </w:pPr>
      <w:r w:rsidRPr="00335BE8">
        <w:rPr>
          <w:lang w:val="en-US"/>
        </w:rPr>
        <w:t>The supplier is fully responsible for:</w:t>
      </w:r>
    </w:p>
    <w:p w14:paraId="1467ECE1" w14:textId="77777777" w:rsidR="00335BE8" w:rsidRPr="00335BE8" w:rsidRDefault="00335BE8" w:rsidP="00335BE8">
      <w:pPr>
        <w:pStyle w:val="KeinLeerraum"/>
        <w:rPr>
          <w:lang w:val="en-US"/>
        </w:rPr>
      </w:pPr>
      <w:r w:rsidRPr="00335BE8">
        <w:rPr>
          <w:lang w:val="en-US"/>
        </w:rPr>
        <w:t>- compliance with all technical requirements specified in the order,</w:t>
      </w:r>
    </w:p>
    <w:p w14:paraId="71F72018" w14:textId="77777777" w:rsidR="00335BE8" w:rsidRPr="00335BE8" w:rsidRDefault="00335BE8" w:rsidP="00335BE8">
      <w:pPr>
        <w:pStyle w:val="KeinLeerraum"/>
        <w:rPr>
          <w:lang w:val="en-US"/>
        </w:rPr>
      </w:pPr>
      <w:r w:rsidRPr="00335BE8">
        <w:rPr>
          <w:lang w:val="en-US"/>
        </w:rPr>
        <w:t>- the quality of its products and services,</w:t>
      </w:r>
    </w:p>
    <w:p w14:paraId="309726F1" w14:textId="77777777" w:rsidR="00335BE8" w:rsidRPr="00335BE8" w:rsidRDefault="00335BE8" w:rsidP="00335BE8">
      <w:pPr>
        <w:pStyle w:val="KeinLeerraum"/>
        <w:rPr>
          <w:lang w:val="en-US"/>
        </w:rPr>
      </w:pPr>
      <w:r w:rsidRPr="00335BE8">
        <w:rPr>
          <w:lang w:val="en-US"/>
        </w:rPr>
        <w:t>- the quality of its subcontractors,</w:t>
      </w:r>
    </w:p>
    <w:p w14:paraId="31BDA685" w14:textId="77777777" w:rsidR="00335BE8" w:rsidRPr="00335BE8" w:rsidRDefault="00335BE8" w:rsidP="00335BE8">
      <w:pPr>
        <w:pStyle w:val="KeinLeerraum"/>
        <w:rPr>
          <w:lang w:val="en-US"/>
        </w:rPr>
      </w:pPr>
      <w:r w:rsidRPr="00335BE8">
        <w:rPr>
          <w:lang w:val="en-US"/>
        </w:rPr>
        <w:t>- compliance with legal requirements,</w:t>
      </w:r>
    </w:p>
    <w:p w14:paraId="53AA1448" w14:textId="77777777" w:rsidR="00335BE8" w:rsidRPr="00335BE8" w:rsidRDefault="00335BE8" w:rsidP="00335BE8">
      <w:pPr>
        <w:pStyle w:val="KeinLeerraum"/>
        <w:rPr>
          <w:lang w:val="en-US"/>
        </w:rPr>
      </w:pPr>
      <w:r w:rsidRPr="00335BE8">
        <w:rPr>
          <w:lang w:val="en-US"/>
        </w:rPr>
        <w:t>as well as compliance with the contractually agreed SMB requirements, specifications, and applicable documents.</w:t>
      </w:r>
    </w:p>
    <w:p w14:paraId="3ED8F170" w14:textId="77777777" w:rsidR="00335BE8" w:rsidRDefault="00335BE8" w:rsidP="00335BE8">
      <w:pPr>
        <w:pStyle w:val="KeinLeerraum"/>
        <w:rPr>
          <w:lang w:val="en-US"/>
        </w:rPr>
      </w:pPr>
      <w:r w:rsidRPr="00335BE8">
        <w:rPr>
          <w:lang w:val="en-US"/>
        </w:rPr>
        <w:t>The Supplier’s responsibility for agreed-upon quality requirements, documentation, and delivery in accordance with specifications remains unaffected by the transfer of risk.</w:t>
      </w:r>
    </w:p>
    <w:p w14:paraId="0928F412" w14:textId="77777777" w:rsidR="00FA720B" w:rsidRPr="00335BE8" w:rsidRDefault="00FA720B" w:rsidP="00335BE8">
      <w:pPr>
        <w:pStyle w:val="KeinLeerraum"/>
        <w:rPr>
          <w:lang w:val="en-US"/>
        </w:rPr>
      </w:pPr>
    </w:p>
    <w:p w14:paraId="2FE8150F" w14:textId="67F16359" w:rsidR="002D4152" w:rsidRPr="00FA720B" w:rsidRDefault="00335BE8" w:rsidP="002D4152">
      <w:pPr>
        <w:pStyle w:val="berschrift2"/>
        <w:rPr>
          <w:rFonts w:eastAsia="Century Gothic" w:cs="Century Gothic"/>
          <w:szCs w:val="20"/>
          <w:lang w:val="en-US"/>
        </w:rPr>
      </w:pPr>
      <w:r w:rsidRPr="00335BE8">
        <w:rPr>
          <w:rFonts w:eastAsiaTheme="minorHAnsi" w:cstheme="minorBidi"/>
          <w:b w:val="0"/>
          <w:kern w:val="0"/>
          <w:sz w:val="20"/>
          <w:szCs w:val="22"/>
          <w:lang w:val="en-US"/>
          <w14:ligatures w14:val="none"/>
        </w:rPr>
        <w:t xml:space="preserve"> </w:t>
      </w:r>
      <w:r w:rsidR="002D4152" w:rsidRPr="0A5FACF1">
        <w:rPr>
          <w:rFonts w:eastAsia="Century Gothic" w:cs="Century Gothic"/>
          <w:szCs w:val="20"/>
          <w:lang w:val="en-US"/>
        </w:rPr>
        <w:t xml:space="preserve"> </w:t>
      </w:r>
      <w:bookmarkStart w:id="25" w:name="_Toc222211250"/>
      <w:r w:rsidR="002D4152" w:rsidRPr="00C35C40">
        <w:rPr>
          <w:rFonts w:eastAsia="Century Gothic" w:cs="Century Gothic"/>
          <w:szCs w:val="24"/>
          <w:lang w:val="de-AT"/>
        </w:rPr>
        <w:t>management systems</w:t>
      </w:r>
      <w:bookmarkEnd w:id="25"/>
      <w:r w:rsidR="002D4152" w:rsidRPr="00C35C40">
        <w:rPr>
          <w:rFonts w:eastAsia="Century Gothic" w:cs="Century Gothic"/>
          <w:szCs w:val="24"/>
          <w:lang w:val="de-AT"/>
        </w:rPr>
        <w:t xml:space="preserve"> </w:t>
      </w:r>
    </w:p>
    <w:p w14:paraId="21846833" w14:textId="77777777" w:rsidR="00335BE8" w:rsidRPr="00335BE8" w:rsidRDefault="00335BE8" w:rsidP="00335BE8">
      <w:pPr>
        <w:rPr>
          <w:lang w:val="en-US"/>
        </w:rPr>
      </w:pPr>
      <w:r w:rsidRPr="00335BE8">
        <w:rPr>
          <w:lang w:val="en-US"/>
        </w:rPr>
        <w:t>The supplier must have an effective quality management system in place in accordance with ISO 9001 or an equivalent standard. Certification is preferred but not a mandatory requirement.</w:t>
      </w:r>
    </w:p>
    <w:p w14:paraId="6F9E397A" w14:textId="77777777" w:rsidR="00335BE8" w:rsidRPr="00335BE8" w:rsidRDefault="00335BE8" w:rsidP="00335BE8">
      <w:pPr>
        <w:rPr>
          <w:lang w:val="en-US"/>
        </w:rPr>
      </w:pPr>
      <w:r w:rsidRPr="00335BE8">
        <w:rPr>
          <w:lang w:val="en-US"/>
        </w:rPr>
        <w:t xml:space="preserve">For welding services, the requirements of EN ISO 3834 and EN 1090 apply, </w:t>
      </w:r>
      <w:r w:rsidRPr="00335BE8">
        <w:rPr>
          <w:u w:val="single"/>
          <w:lang w:val="en-US"/>
        </w:rPr>
        <w:t>where applicable</w:t>
      </w:r>
      <w:r w:rsidRPr="00335BE8">
        <w:rPr>
          <w:lang w:val="en-US"/>
        </w:rPr>
        <w:t>.</w:t>
      </w:r>
    </w:p>
    <w:p w14:paraId="240FEC11" w14:textId="77777777" w:rsidR="00335BE8" w:rsidRPr="00335BE8" w:rsidRDefault="00335BE8" w:rsidP="00335BE8">
      <w:pPr>
        <w:rPr>
          <w:lang w:val="en-US"/>
        </w:rPr>
      </w:pPr>
      <w:r w:rsidRPr="00335BE8">
        <w:rPr>
          <w:lang w:val="en-US"/>
        </w:rPr>
        <w:t>The supplier commits to the continuous improvement of its processes.</w:t>
      </w:r>
    </w:p>
    <w:p w14:paraId="3F29D9B3" w14:textId="77777777" w:rsidR="002D4152" w:rsidRPr="00860467" w:rsidRDefault="002D4152" w:rsidP="002D4152">
      <w:pPr>
        <w:rPr>
          <w:rFonts w:eastAsia="Century Gothic" w:cs="Century Gothic"/>
          <w:szCs w:val="20"/>
          <w:lang w:val="en-US"/>
        </w:rPr>
      </w:pPr>
    </w:p>
    <w:p w14:paraId="43918085" w14:textId="77777777" w:rsidR="002D4152" w:rsidRDefault="002D4152" w:rsidP="002D4152">
      <w:pPr>
        <w:pStyle w:val="berschrift2"/>
        <w:spacing w:before="0" w:after="0"/>
        <w:ind w:left="578" w:hanging="578"/>
        <w:rPr>
          <w:rFonts w:eastAsia="Century Gothic" w:cs="Century Gothic"/>
          <w:szCs w:val="24"/>
          <w:lang w:val="de-AT"/>
        </w:rPr>
      </w:pPr>
      <w:bookmarkStart w:id="26" w:name="_Toc222211251"/>
      <w:r w:rsidRPr="00253C41">
        <w:rPr>
          <w:rFonts w:eastAsia="Century Gothic" w:cs="Century Gothic"/>
          <w:szCs w:val="24"/>
          <w:lang w:val="de-AT"/>
        </w:rPr>
        <w:t>Technical requirements</w:t>
      </w:r>
      <w:bookmarkEnd w:id="26"/>
    </w:p>
    <w:p w14:paraId="10F4A984" w14:textId="77777777" w:rsidR="00FA720B" w:rsidRPr="00FA720B" w:rsidRDefault="00FA720B" w:rsidP="00FA720B">
      <w:pPr>
        <w:rPr>
          <w:lang w:val="en-US"/>
        </w:rPr>
      </w:pPr>
      <w:r w:rsidRPr="00FA720B">
        <w:rPr>
          <w:lang w:val="en-US"/>
        </w:rPr>
        <w:t>The technical requirements are derived from: Any deviations from these requirements require written approval from SMB.</w:t>
      </w:r>
    </w:p>
    <w:p w14:paraId="1517F1F7" w14:textId="77777777" w:rsidR="00FA720B" w:rsidRPr="00FA720B" w:rsidRDefault="00FA720B" w:rsidP="00FA720B">
      <w:pPr>
        <w:numPr>
          <w:ilvl w:val="0"/>
          <w:numId w:val="17"/>
        </w:numPr>
        <w:rPr>
          <w:lang w:val="de-DE"/>
        </w:rPr>
      </w:pPr>
      <w:r w:rsidRPr="00FA720B">
        <w:rPr>
          <w:lang w:val="de-DE"/>
        </w:rPr>
        <w:t>the purchase order,</w:t>
      </w:r>
    </w:p>
    <w:p w14:paraId="52AA4F5F" w14:textId="77777777" w:rsidR="00FA720B" w:rsidRPr="00FA720B" w:rsidRDefault="00FA720B" w:rsidP="00FA720B">
      <w:pPr>
        <w:numPr>
          <w:ilvl w:val="0"/>
          <w:numId w:val="17"/>
        </w:numPr>
        <w:rPr>
          <w:lang w:val="de-DE"/>
        </w:rPr>
      </w:pPr>
      <w:r w:rsidRPr="00FA720B">
        <w:rPr>
          <w:lang w:val="de-DE"/>
        </w:rPr>
        <w:t>approved drawings,</w:t>
      </w:r>
    </w:p>
    <w:p w14:paraId="6AB3C3A7" w14:textId="77777777" w:rsidR="00FA720B" w:rsidRPr="00FA720B" w:rsidRDefault="00FA720B" w:rsidP="00FA720B">
      <w:pPr>
        <w:numPr>
          <w:ilvl w:val="0"/>
          <w:numId w:val="17"/>
        </w:numPr>
        <w:rPr>
          <w:lang w:val="de-DE"/>
        </w:rPr>
      </w:pPr>
      <w:r w:rsidRPr="00FA720B">
        <w:rPr>
          <w:lang w:val="de-DE"/>
        </w:rPr>
        <w:t>technical specifications,</w:t>
      </w:r>
    </w:p>
    <w:p w14:paraId="0D65DD33" w14:textId="77777777" w:rsidR="00FA720B" w:rsidRPr="00FA720B" w:rsidRDefault="00FA720B" w:rsidP="00FA720B">
      <w:pPr>
        <w:numPr>
          <w:ilvl w:val="0"/>
          <w:numId w:val="17"/>
        </w:numPr>
        <w:rPr>
          <w:lang w:val="de-DE"/>
        </w:rPr>
      </w:pPr>
      <w:r w:rsidRPr="00FA720B">
        <w:rPr>
          <w:lang w:val="de-DE"/>
        </w:rPr>
        <w:t>data sheets,</w:t>
      </w:r>
    </w:p>
    <w:p w14:paraId="17E3A6DA" w14:textId="77777777" w:rsidR="00FA720B" w:rsidRPr="00FA720B" w:rsidRDefault="00FA720B" w:rsidP="00FA720B">
      <w:pPr>
        <w:numPr>
          <w:ilvl w:val="0"/>
          <w:numId w:val="17"/>
        </w:numPr>
        <w:rPr>
          <w:lang w:val="de-DE"/>
        </w:rPr>
      </w:pPr>
      <w:r w:rsidRPr="00FA720B">
        <w:rPr>
          <w:lang w:val="de-DE"/>
        </w:rPr>
        <w:t>project-specific requirements,</w:t>
      </w:r>
    </w:p>
    <w:p w14:paraId="0C16914A" w14:textId="388041D5" w:rsidR="002D4152" w:rsidRPr="00FA720B" w:rsidRDefault="00FA720B" w:rsidP="002D4152">
      <w:pPr>
        <w:numPr>
          <w:ilvl w:val="0"/>
          <w:numId w:val="17"/>
        </w:numPr>
        <w:rPr>
          <w:lang w:val="en-US"/>
        </w:rPr>
      </w:pPr>
      <w:r w:rsidRPr="00FA720B">
        <w:rPr>
          <w:lang w:val="en-US"/>
        </w:rPr>
        <w:t>and any expressly agreed-upon additional requirements.</w:t>
      </w:r>
    </w:p>
    <w:p w14:paraId="58D0824C" w14:textId="77777777" w:rsidR="002D4152" w:rsidRPr="00D816C5" w:rsidRDefault="002D4152" w:rsidP="002D4152">
      <w:pPr>
        <w:pStyle w:val="berschrift2"/>
        <w:spacing w:before="0" w:after="0"/>
        <w:ind w:left="578" w:hanging="578"/>
        <w:rPr>
          <w:rFonts w:eastAsia="Century Gothic" w:cs="Century Gothic"/>
          <w:szCs w:val="24"/>
          <w:lang w:val="de-AT"/>
        </w:rPr>
      </w:pPr>
      <w:bookmarkStart w:id="27" w:name="_Toc222211252"/>
      <w:r w:rsidRPr="00D816C5">
        <w:rPr>
          <w:rFonts w:eastAsia="Century Gothic" w:cs="Century Gothic"/>
          <w:szCs w:val="24"/>
          <w:lang w:val="de-AT"/>
        </w:rPr>
        <w:lastRenderedPageBreak/>
        <w:t>Planning, testing, and documentation</w:t>
      </w:r>
      <w:bookmarkEnd w:id="27"/>
    </w:p>
    <w:p w14:paraId="00E43FE0" w14:textId="77777777" w:rsidR="00FA720B" w:rsidRPr="00FA720B" w:rsidRDefault="00FA720B" w:rsidP="00FA720B">
      <w:pPr>
        <w:rPr>
          <w:lang w:val="en-US"/>
        </w:rPr>
      </w:pPr>
      <w:r w:rsidRPr="00FA720B">
        <w:rPr>
          <w:lang w:val="en-US"/>
        </w:rPr>
        <w:t>The supplier must ensure that: The required quality documentation is submitted in a complete and structured manner in accordance with the order, project-specific requirements, or agreed-upon scope of documentation.</w:t>
      </w:r>
    </w:p>
    <w:p w14:paraId="4F73278D" w14:textId="77777777" w:rsidR="00FA720B" w:rsidRPr="00FA720B" w:rsidRDefault="00FA720B" w:rsidP="00FA720B">
      <w:pPr>
        <w:numPr>
          <w:ilvl w:val="0"/>
          <w:numId w:val="18"/>
        </w:numPr>
        <w:rPr>
          <w:lang w:val="en-US"/>
        </w:rPr>
      </w:pPr>
      <w:r w:rsidRPr="00FA720B">
        <w:rPr>
          <w:lang w:val="en-US"/>
        </w:rPr>
        <w:t>suitable production and testing processes are defined,</w:t>
      </w:r>
    </w:p>
    <w:p w14:paraId="0FC12864" w14:textId="77777777" w:rsidR="00FA720B" w:rsidRPr="00FA720B" w:rsidRDefault="00FA720B" w:rsidP="00FA720B">
      <w:pPr>
        <w:numPr>
          <w:ilvl w:val="0"/>
          <w:numId w:val="18"/>
        </w:numPr>
        <w:rPr>
          <w:lang w:val="en-US"/>
        </w:rPr>
      </w:pPr>
      <w:r w:rsidRPr="00FA720B">
        <w:rPr>
          <w:lang w:val="en-US"/>
        </w:rPr>
        <w:t>only approved products that comply with specifications are delivered,</w:t>
      </w:r>
    </w:p>
    <w:p w14:paraId="00372CF2" w14:textId="77777777" w:rsidR="00FA720B" w:rsidRPr="00FA720B" w:rsidRDefault="00FA720B" w:rsidP="00FA720B">
      <w:pPr>
        <w:numPr>
          <w:ilvl w:val="0"/>
          <w:numId w:val="18"/>
        </w:numPr>
        <w:rPr>
          <w:lang w:val="en-US"/>
        </w:rPr>
      </w:pPr>
      <w:r w:rsidRPr="00FA720B">
        <w:rPr>
          <w:lang w:val="en-US"/>
        </w:rPr>
        <w:t xml:space="preserve">testing and measuring equipment </w:t>
      </w:r>
      <w:proofErr w:type="gramStart"/>
      <w:r w:rsidRPr="00FA720B">
        <w:rPr>
          <w:lang w:val="en-US"/>
        </w:rPr>
        <w:t>is</w:t>
      </w:r>
      <w:proofErr w:type="gramEnd"/>
      <w:r w:rsidRPr="00FA720B">
        <w:rPr>
          <w:lang w:val="en-US"/>
        </w:rPr>
        <w:t xml:space="preserve"> suitable and calibrated,</w:t>
      </w:r>
    </w:p>
    <w:p w14:paraId="5FC3DE42" w14:textId="77777777" w:rsidR="00FA720B" w:rsidRPr="00FA720B" w:rsidRDefault="00FA720B" w:rsidP="00FA720B">
      <w:pPr>
        <w:numPr>
          <w:ilvl w:val="0"/>
          <w:numId w:val="18"/>
        </w:numPr>
        <w:rPr>
          <w:lang w:val="en-US"/>
        </w:rPr>
      </w:pPr>
      <w:r w:rsidRPr="00FA720B">
        <w:rPr>
          <w:lang w:val="en-US"/>
        </w:rPr>
        <w:t>the production and testing status is clearly identifiable.</w:t>
      </w:r>
    </w:p>
    <w:p w14:paraId="67716472" w14:textId="77777777" w:rsidR="00FA720B" w:rsidRPr="00FA720B" w:rsidRDefault="00FA720B" w:rsidP="00FA720B">
      <w:pPr>
        <w:ind w:left="720"/>
        <w:rPr>
          <w:lang w:val="en-US"/>
        </w:rPr>
      </w:pPr>
    </w:p>
    <w:p w14:paraId="78327978" w14:textId="77777777" w:rsidR="00FA720B" w:rsidRPr="00FA720B" w:rsidRDefault="00FA720B" w:rsidP="00FA720B">
      <w:pPr>
        <w:rPr>
          <w:lang w:val="en-US"/>
        </w:rPr>
      </w:pPr>
      <w:r w:rsidRPr="00FA720B">
        <w:rPr>
          <w:lang w:val="en-US"/>
        </w:rPr>
        <w:t xml:space="preserve">The required quality documentation may include, for example: </w:t>
      </w:r>
    </w:p>
    <w:p w14:paraId="436AE39C" w14:textId="77777777" w:rsidR="00FA720B" w:rsidRPr="00FA720B" w:rsidRDefault="00FA720B" w:rsidP="00FA720B">
      <w:pPr>
        <w:numPr>
          <w:ilvl w:val="0"/>
          <w:numId w:val="19"/>
        </w:numPr>
        <w:rPr>
          <w:lang w:val="de-DE"/>
        </w:rPr>
      </w:pPr>
      <w:r w:rsidRPr="00FA720B">
        <w:rPr>
          <w:lang w:val="de-DE"/>
        </w:rPr>
        <w:t>EN 10204 3.1 / 3.2</w:t>
      </w:r>
    </w:p>
    <w:p w14:paraId="76AAAA9D" w14:textId="77777777" w:rsidR="00FA720B" w:rsidRPr="00FA720B" w:rsidRDefault="00FA720B" w:rsidP="00FA720B">
      <w:pPr>
        <w:numPr>
          <w:ilvl w:val="0"/>
          <w:numId w:val="19"/>
        </w:numPr>
        <w:rPr>
          <w:lang w:val="de-DE"/>
        </w:rPr>
      </w:pPr>
      <w:r w:rsidRPr="00FA720B">
        <w:rPr>
          <w:lang w:val="de-DE"/>
        </w:rPr>
        <w:t>Declarations of Conformity</w:t>
      </w:r>
    </w:p>
    <w:p w14:paraId="0C604C2A" w14:textId="77777777" w:rsidR="00FA720B" w:rsidRPr="00FA720B" w:rsidRDefault="00FA720B" w:rsidP="00FA720B">
      <w:pPr>
        <w:numPr>
          <w:ilvl w:val="0"/>
          <w:numId w:val="19"/>
        </w:numPr>
        <w:rPr>
          <w:lang w:val="de-DE"/>
        </w:rPr>
      </w:pPr>
      <w:r w:rsidRPr="00FA720B">
        <w:rPr>
          <w:lang w:val="de-DE"/>
        </w:rPr>
        <w:t>FDA/Material Certificates</w:t>
      </w:r>
    </w:p>
    <w:p w14:paraId="655695F0" w14:textId="77777777" w:rsidR="00FA720B" w:rsidRPr="00FA720B" w:rsidRDefault="00FA720B" w:rsidP="00FA720B">
      <w:pPr>
        <w:numPr>
          <w:ilvl w:val="0"/>
          <w:numId w:val="19"/>
        </w:numPr>
        <w:rPr>
          <w:lang w:val="de-DE"/>
        </w:rPr>
      </w:pPr>
      <w:r w:rsidRPr="00FA720B">
        <w:rPr>
          <w:lang w:val="de-DE"/>
        </w:rPr>
        <w:t>Surface Treatment Reports</w:t>
      </w:r>
    </w:p>
    <w:p w14:paraId="45C2F83F" w14:textId="77777777" w:rsidR="00FA720B" w:rsidRPr="00FA720B" w:rsidRDefault="00FA720B" w:rsidP="00FA720B">
      <w:pPr>
        <w:numPr>
          <w:ilvl w:val="0"/>
          <w:numId w:val="19"/>
        </w:numPr>
        <w:rPr>
          <w:lang w:val="de-DE"/>
        </w:rPr>
      </w:pPr>
      <w:r w:rsidRPr="00FA720B">
        <w:rPr>
          <w:lang w:val="de-DE"/>
        </w:rPr>
        <w:t>Welding Documentation</w:t>
      </w:r>
    </w:p>
    <w:p w14:paraId="63BA5D7B" w14:textId="77777777" w:rsidR="00FA720B" w:rsidRPr="00FA720B" w:rsidRDefault="00FA720B" w:rsidP="00FA720B">
      <w:pPr>
        <w:numPr>
          <w:ilvl w:val="0"/>
          <w:numId w:val="19"/>
        </w:numPr>
        <w:rPr>
          <w:lang w:val="de-DE"/>
        </w:rPr>
      </w:pPr>
      <w:r w:rsidRPr="00FA720B">
        <w:rPr>
          <w:lang w:val="de-DE"/>
        </w:rPr>
        <w:t>Project-specific Test Reports</w:t>
      </w:r>
    </w:p>
    <w:p w14:paraId="03C698AF" w14:textId="3D4159E9" w:rsidR="002D4152" w:rsidRPr="00FA720B" w:rsidRDefault="00FA720B" w:rsidP="002D4152">
      <w:pPr>
        <w:numPr>
          <w:ilvl w:val="0"/>
          <w:numId w:val="19"/>
        </w:numPr>
        <w:rPr>
          <w:lang w:val="de-DE"/>
        </w:rPr>
      </w:pPr>
      <w:r w:rsidRPr="00FA720B">
        <w:rPr>
          <w:lang w:val="de-DE"/>
        </w:rPr>
        <w:t>Other agreed-upon quality documentation</w:t>
      </w:r>
    </w:p>
    <w:p w14:paraId="74DC2D84" w14:textId="77777777" w:rsidR="002D4152" w:rsidRPr="00860467" w:rsidRDefault="002D4152" w:rsidP="002D4152">
      <w:pPr>
        <w:rPr>
          <w:lang w:val="en-US"/>
        </w:rPr>
      </w:pPr>
    </w:p>
    <w:p w14:paraId="3DCB1DC6" w14:textId="77777777" w:rsidR="002D4152" w:rsidRPr="00476F85" w:rsidRDefault="002D4152" w:rsidP="002D4152">
      <w:pPr>
        <w:pStyle w:val="berschrift2"/>
        <w:spacing w:before="0" w:after="0"/>
        <w:ind w:left="578" w:hanging="578"/>
        <w:rPr>
          <w:rFonts w:eastAsia="Century Gothic" w:cs="Century Gothic"/>
          <w:szCs w:val="24"/>
          <w:lang w:val="de-AT"/>
        </w:rPr>
      </w:pPr>
      <w:bookmarkStart w:id="28" w:name="_Toc222211253"/>
      <w:r w:rsidRPr="00476F85">
        <w:rPr>
          <w:rFonts w:eastAsia="Century Gothic" w:cs="Century Gothic"/>
          <w:szCs w:val="24"/>
          <w:lang w:val="de-AT"/>
        </w:rPr>
        <w:t>Deadlines and delivery delays</w:t>
      </w:r>
      <w:bookmarkEnd w:id="28"/>
    </w:p>
    <w:p w14:paraId="15F089F8" w14:textId="77777777" w:rsidR="00FA720B" w:rsidRPr="00FA720B" w:rsidRDefault="00FA720B" w:rsidP="00FA720B">
      <w:pPr>
        <w:rPr>
          <w:lang w:val="en-US"/>
        </w:rPr>
      </w:pPr>
      <w:r w:rsidRPr="00FA720B">
        <w:rPr>
          <w:lang w:val="en-US"/>
        </w:rPr>
        <w:t>The supplier is obligated to meet agreed-upon delivery deadlines.</w:t>
      </w:r>
    </w:p>
    <w:p w14:paraId="47E9AA5D" w14:textId="77777777" w:rsidR="00FA720B" w:rsidRPr="00FA720B" w:rsidRDefault="00FA720B" w:rsidP="00FA720B">
      <w:pPr>
        <w:rPr>
          <w:lang w:val="en-US"/>
        </w:rPr>
      </w:pPr>
      <w:r w:rsidRPr="00FA720B">
        <w:rPr>
          <w:lang w:val="en-US"/>
        </w:rPr>
        <w:t>Any foreseeable deviations from the schedule must be reported in writing to the responsible SMB contact person without delay.</w:t>
      </w:r>
    </w:p>
    <w:p w14:paraId="6A397F42" w14:textId="77777777" w:rsidR="00FA720B" w:rsidRPr="00FA720B" w:rsidRDefault="00FA720B" w:rsidP="00FA720B">
      <w:pPr>
        <w:rPr>
          <w:lang w:val="en-US"/>
        </w:rPr>
      </w:pPr>
      <w:r w:rsidRPr="00FA720B">
        <w:rPr>
          <w:lang w:val="en-US"/>
        </w:rPr>
        <w:t xml:space="preserve">Project- or contract-related provisions regarding delivery dates, delays, escalations, or possible follow-up measures are additionally set forth in the respective purchase orders, contracts, or project-specific agreements. </w:t>
      </w:r>
    </w:p>
    <w:p w14:paraId="77B1D9DB" w14:textId="77777777" w:rsidR="002D4152" w:rsidRPr="00860467" w:rsidRDefault="002D4152" w:rsidP="002D4152">
      <w:pPr>
        <w:rPr>
          <w:lang w:val="en-US"/>
        </w:rPr>
      </w:pPr>
    </w:p>
    <w:p w14:paraId="7CFF92E7" w14:textId="77777777" w:rsidR="002D4152" w:rsidRPr="00463E2D" w:rsidRDefault="002D4152" w:rsidP="002D4152">
      <w:pPr>
        <w:pStyle w:val="berschrift2"/>
        <w:spacing w:before="0" w:after="0"/>
        <w:ind w:left="578" w:hanging="578"/>
        <w:rPr>
          <w:rFonts w:eastAsia="Century Gothic" w:cs="Century Gothic"/>
          <w:szCs w:val="24"/>
          <w:lang w:val="de-AT"/>
        </w:rPr>
      </w:pPr>
      <w:bookmarkStart w:id="29" w:name="_Toc222211254"/>
      <w:r w:rsidRPr="005C4C64">
        <w:rPr>
          <w:rFonts w:eastAsia="Century Gothic" w:cs="Century Gothic"/>
          <w:szCs w:val="24"/>
          <w:lang w:val="de-AT"/>
        </w:rPr>
        <w:t>Goods issue and delivery condition</w:t>
      </w:r>
      <w:bookmarkEnd w:id="29"/>
    </w:p>
    <w:p w14:paraId="0622294C" w14:textId="77777777" w:rsidR="00FA720B" w:rsidRPr="00FA720B" w:rsidRDefault="00FA720B" w:rsidP="00FA720B">
      <w:pPr>
        <w:rPr>
          <w:lang w:val="en-US"/>
        </w:rPr>
      </w:pPr>
      <w:r w:rsidRPr="00FA720B">
        <w:rPr>
          <w:lang w:val="en-US"/>
        </w:rPr>
        <w:t>The supplier must ensure that only products that comply with specifications, have been approved, and have been tested are delivered.</w:t>
      </w:r>
    </w:p>
    <w:p w14:paraId="67970E4A" w14:textId="77777777" w:rsidR="00FA720B" w:rsidRDefault="00FA720B" w:rsidP="00FA720B">
      <w:pPr>
        <w:rPr>
          <w:lang w:val="en-US"/>
        </w:rPr>
      </w:pPr>
      <w:r w:rsidRPr="00FA720B">
        <w:rPr>
          <w:lang w:val="en-US"/>
        </w:rPr>
        <w:t>The delivery must be free of unacceptable damage or signs of corrosion, clean and ready for assembly, properly labeled, and securely packaged for transport.</w:t>
      </w:r>
    </w:p>
    <w:p w14:paraId="1DA2AEC2" w14:textId="77777777" w:rsidR="00FA720B" w:rsidRPr="00FA720B" w:rsidRDefault="00FA720B" w:rsidP="00FA720B">
      <w:pPr>
        <w:rPr>
          <w:lang w:val="en-US"/>
        </w:rPr>
      </w:pPr>
    </w:p>
    <w:p w14:paraId="290C2A3D" w14:textId="77777777" w:rsidR="00FA720B" w:rsidRPr="00FA720B" w:rsidRDefault="00FA720B" w:rsidP="00FA720B">
      <w:pPr>
        <w:rPr>
          <w:lang w:val="en-US"/>
        </w:rPr>
      </w:pPr>
      <w:r w:rsidRPr="00FA720B">
        <w:rPr>
          <w:lang w:val="en-US"/>
        </w:rPr>
        <w:t>The binding organizational requirements are set forth in the currently valid SMB delivery regulations.</w:t>
      </w:r>
    </w:p>
    <w:p w14:paraId="52BD3B94" w14:textId="77777777" w:rsidR="00FA720B" w:rsidRPr="00FA720B" w:rsidRDefault="00FA720B" w:rsidP="00FA720B">
      <w:pPr>
        <w:rPr>
          <w:lang w:val="en-US"/>
        </w:rPr>
      </w:pPr>
      <w:r w:rsidRPr="00FA720B">
        <w:rPr>
          <w:lang w:val="en-US"/>
        </w:rPr>
        <w:t>Product-specific technical requirements, evaluation criteria, or supplementary agreements may be further regulated via specifications, drawings, or mutually agreed-upon side letters.</w:t>
      </w:r>
    </w:p>
    <w:p w14:paraId="51D685BE" w14:textId="77777777" w:rsidR="002D4152" w:rsidRPr="00860467" w:rsidRDefault="002D4152" w:rsidP="002D4152">
      <w:pPr>
        <w:rPr>
          <w:lang w:val="en-US"/>
        </w:rPr>
      </w:pPr>
    </w:p>
    <w:p w14:paraId="2DD5A25E" w14:textId="77777777" w:rsidR="002D4152" w:rsidRPr="00C13EBE" w:rsidRDefault="002D4152" w:rsidP="002D4152">
      <w:pPr>
        <w:pStyle w:val="berschrift2"/>
        <w:spacing w:before="0" w:after="0"/>
        <w:ind w:left="578" w:hanging="578"/>
        <w:rPr>
          <w:rFonts w:eastAsia="Century Gothic" w:cs="Century Gothic"/>
          <w:szCs w:val="24"/>
          <w:lang w:val="de-AT"/>
        </w:rPr>
      </w:pPr>
      <w:bookmarkStart w:id="30" w:name="_Toc222211255"/>
      <w:r w:rsidRPr="00C13EBE">
        <w:rPr>
          <w:rFonts w:eastAsia="Century Gothic" w:cs="Century Gothic"/>
          <w:szCs w:val="24"/>
          <w:lang w:val="de-AT"/>
        </w:rPr>
        <w:t>Subcontractors</w:t>
      </w:r>
      <w:bookmarkEnd w:id="30"/>
    </w:p>
    <w:p w14:paraId="77C2A98A" w14:textId="77777777" w:rsidR="002D4152" w:rsidRPr="00860467" w:rsidRDefault="002D4152" w:rsidP="002D4152">
      <w:pPr>
        <w:rPr>
          <w:lang w:val="en-US"/>
        </w:rPr>
      </w:pPr>
      <w:r w:rsidRPr="00860467">
        <w:rPr>
          <w:lang w:val="en-US"/>
        </w:rPr>
        <w:t>The use of subcontractors is permitted, unless otherwise specified in the order, the requirements of these QSV are passed on to the subcontractor, and the supplier ensures compliance with these requirements.</w:t>
      </w:r>
    </w:p>
    <w:p w14:paraId="01EF1896" w14:textId="77777777" w:rsidR="002D4152" w:rsidRPr="00860467" w:rsidRDefault="002D4152" w:rsidP="002D4152">
      <w:pPr>
        <w:rPr>
          <w:lang w:val="en-US"/>
        </w:rPr>
      </w:pPr>
    </w:p>
    <w:p w14:paraId="4C8ED2F0" w14:textId="77777777" w:rsidR="002D4152" w:rsidRPr="00860467" w:rsidRDefault="002D4152" w:rsidP="002D4152">
      <w:pPr>
        <w:rPr>
          <w:lang w:val="en-US"/>
        </w:rPr>
      </w:pPr>
      <w:r w:rsidRPr="00860467">
        <w:rPr>
          <w:lang w:val="en-US"/>
        </w:rPr>
        <w:t>Responsibility remains with SMB's contractual partner.</w:t>
      </w:r>
    </w:p>
    <w:p w14:paraId="1E3F0D9E" w14:textId="77777777" w:rsidR="002D4152" w:rsidRPr="00860467" w:rsidRDefault="002D4152" w:rsidP="002D4152">
      <w:pPr>
        <w:rPr>
          <w:lang w:val="en-US"/>
        </w:rPr>
      </w:pPr>
    </w:p>
    <w:p w14:paraId="73FA3B5D" w14:textId="77777777" w:rsidR="002D4152" w:rsidRPr="000D61BA" w:rsidRDefault="002D4152" w:rsidP="002D4152">
      <w:pPr>
        <w:pStyle w:val="berschrift1"/>
        <w:spacing w:before="0" w:after="0"/>
        <w:ind w:left="431" w:hanging="431"/>
        <w:rPr>
          <w:rFonts w:eastAsia="Century Gothic" w:cs="Century Gothic"/>
          <w:szCs w:val="24"/>
          <w:lang w:val="de-AT"/>
        </w:rPr>
      </w:pPr>
      <w:bookmarkStart w:id="31" w:name="_Toc222211256"/>
      <w:r w:rsidRPr="000D61BA">
        <w:rPr>
          <w:rFonts w:eastAsia="Century Gothic" w:cs="Century Gothic"/>
          <w:szCs w:val="24"/>
          <w:lang w:val="de-AT"/>
        </w:rPr>
        <w:t>Deviations and complaints</w:t>
      </w:r>
      <w:bookmarkEnd w:id="31"/>
    </w:p>
    <w:p w14:paraId="61C45E3D" w14:textId="77777777" w:rsidR="002D4152" w:rsidRPr="00860467" w:rsidRDefault="002D4152" w:rsidP="002D4152">
      <w:pPr>
        <w:rPr>
          <w:lang w:val="en-US"/>
        </w:rPr>
      </w:pPr>
      <w:r w:rsidRPr="00860467">
        <w:rPr>
          <w:lang w:val="en-US"/>
        </w:rPr>
        <w:t>In the event of justified complaints, the supplier is obliged to immediately initiate immediate measures, analyze the causes, and take sustainable corrective action.</w:t>
      </w:r>
    </w:p>
    <w:p w14:paraId="456022F3" w14:textId="77777777" w:rsidR="002D4152" w:rsidRPr="00860467" w:rsidRDefault="002D4152" w:rsidP="002D4152">
      <w:pPr>
        <w:rPr>
          <w:lang w:val="en-US"/>
        </w:rPr>
      </w:pPr>
    </w:p>
    <w:p w14:paraId="1429A77C" w14:textId="77777777" w:rsidR="002D4152" w:rsidRPr="00860467" w:rsidRDefault="002D4152" w:rsidP="002D4152">
      <w:pPr>
        <w:rPr>
          <w:lang w:val="en-US"/>
        </w:rPr>
      </w:pPr>
      <w:r w:rsidRPr="00860467">
        <w:rPr>
          <w:lang w:val="en-US"/>
        </w:rPr>
        <w:t>An 8D report is only required in the case of systematic or serious errors.</w:t>
      </w:r>
    </w:p>
    <w:p w14:paraId="1D0B0668" w14:textId="77777777" w:rsidR="002D4152" w:rsidRPr="00860467" w:rsidRDefault="002D4152" w:rsidP="002D4152">
      <w:pPr>
        <w:rPr>
          <w:lang w:val="en-US"/>
        </w:rPr>
      </w:pPr>
    </w:p>
    <w:p w14:paraId="4B018CC3" w14:textId="77777777" w:rsidR="002D4152" w:rsidRPr="00860467" w:rsidRDefault="002D4152" w:rsidP="002D4152">
      <w:pPr>
        <w:rPr>
          <w:lang w:val="en-US"/>
        </w:rPr>
      </w:pPr>
      <w:r w:rsidRPr="00860467">
        <w:rPr>
          <w:lang w:val="en-US"/>
        </w:rPr>
        <w:t>Reworked or repaired parts must be re-inspected and clearly marked.</w:t>
      </w:r>
    </w:p>
    <w:p w14:paraId="1581EB89" w14:textId="77777777" w:rsidR="002D4152" w:rsidRPr="00860467" w:rsidRDefault="002D4152" w:rsidP="002D4152">
      <w:pPr>
        <w:rPr>
          <w:lang w:val="en-US"/>
        </w:rPr>
      </w:pPr>
    </w:p>
    <w:p w14:paraId="3435A051" w14:textId="77777777" w:rsidR="002D4152" w:rsidRPr="00204F0D" w:rsidRDefault="002D4152" w:rsidP="002D4152">
      <w:pPr>
        <w:pStyle w:val="berschrift1"/>
        <w:spacing w:before="0" w:after="0"/>
        <w:ind w:left="431" w:hanging="431"/>
        <w:rPr>
          <w:rFonts w:eastAsia="Century Gothic" w:cs="Century Gothic"/>
          <w:szCs w:val="24"/>
          <w:lang w:val="de-AT"/>
        </w:rPr>
      </w:pPr>
      <w:bookmarkStart w:id="32" w:name="_Toc222211257"/>
      <w:r w:rsidRPr="00204F0D">
        <w:rPr>
          <w:rFonts w:eastAsia="Century Gothic" w:cs="Century Gothic"/>
          <w:szCs w:val="24"/>
          <w:lang w:val="de-AT"/>
        </w:rPr>
        <w:lastRenderedPageBreak/>
        <w:t>Audit and information rights</w:t>
      </w:r>
      <w:bookmarkEnd w:id="32"/>
    </w:p>
    <w:p w14:paraId="08540A16" w14:textId="77777777" w:rsidR="002D4152" w:rsidRPr="00860467" w:rsidRDefault="002D4152" w:rsidP="002D4152">
      <w:pPr>
        <w:pStyle w:val="StandardWeb"/>
        <w:rPr>
          <w:rFonts w:ascii="Century Gothic" w:eastAsiaTheme="minorHAnsi" w:hAnsi="Century Gothic" w:cstheme="minorBidi"/>
          <w:sz w:val="20"/>
          <w:szCs w:val="22"/>
          <w:lang w:val="en-US" w:eastAsia="en-US"/>
        </w:rPr>
      </w:pPr>
      <w:r w:rsidRPr="00860467">
        <w:rPr>
          <w:rFonts w:ascii="Century Gothic" w:eastAsiaTheme="minorHAnsi" w:hAnsi="Century Gothic" w:cstheme="minorBidi"/>
          <w:sz w:val="20"/>
          <w:szCs w:val="22"/>
          <w:lang w:val="en-US" w:eastAsia="en-US"/>
        </w:rPr>
        <w:t>SMB is entitled to conduct audits at the supplier's premises after giving reasonable advance notice. These may include system, process, or product audits and are carried out on a risk-based and proportionate basis.</w:t>
      </w:r>
    </w:p>
    <w:p w14:paraId="1B13AC7C" w14:textId="77777777" w:rsidR="002D4152" w:rsidRPr="00272B79" w:rsidRDefault="002D4152" w:rsidP="002D4152">
      <w:pPr>
        <w:pStyle w:val="berschrift1"/>
        <w:spacing w:before="0" w:after="0"/>
        <w:ind w:left="431" w:hanging="431"/>
        <w:rPr>
          <w:rFonts w:eastAsia="Century Gothic" w:cs="Century Gothic"/>
          <w:szCs w:val="24"/>
          <w:lang w:val="de-AT"/>
        </w:rPr>
      </w:pPr>
      <w:bookmarkStart w:id="33" w:name="_Toc222211258"/>
      <w:r w:rsidRPr="00272B79">
        <w:rPr>
          <w:rFonts w:eastAsia="Century Gothic" w:cs="Century Gothic"/>
          <w:szCs w:val="24"/>
          <w:lang w:val="de-AT"/>
        </w:rPr>
        <w:t>Environment, safety, and sustainability</w:t>
      </w:r>
      <w:bookmarkEnd w:id="33"/>
    </w:p>
    <w:p w14:paraId="5CCCD741" w14:textId="77777777" w:rsidR="002D4152" w:rsidRPr="00860467" w:rsidRDefault="002D4152" w:rsidP="002D4152">
      <w:pPr>
        <w:rPr>
          <w:lang w:val="en-US"/>
        </w:rPr>
      </w:pPr>
      <w:r w:rsidRPr="00860467">
        <w:rPr>
          <w:lang w:val="en-US"/>
        </w:rPr>
        <w:t>The supplier undertakes to comply with all applicable environmental and occupational safety laws, to dispose of waste properly, to minimize environmental impact, and to use resources responsibly.</w:t>
      </w:r>
    </w:p>
    <w:p w14:paraId="396ABA05" w14:textId="77777777" w:rsidR="002D4152" w:rsidRPr="00860467" w:rsidRDefault="002D4152" w:rsidP="002D4152">
      <w:pPr>
        <w:rPr>
          <w:lang w:val="en-US"/>
        </w:rPr>
      </w:pPr>
    </w:p>
    <w:p w14:paraId="4E6F30C0" w14:textId="77777777" w:rsidR="002D4152" w:rsidRPr="00860467" w:rsidRDefault="002D4152" w:rsidP="002D4152">
      <w:pPr>
        <w:rPr>
          <w:lang w:val="en-US"/>
        </w:rPr>
      </w:pPr>
      <w:r w:rsidRPr="00860467">
        <w:rPr>
          <w:lang w:val="en-US"/>
        </w:rPr>
        <w:t>The guidelines published in the download area of the SMB website are a binding part of this agreement.</w:t>
      </w:r>
    </w:p>
    <w:p w14:paraId="1AAE14E9" w14:textId="77777777" w:rsidR="002D4152" w:rsidRPr="00860467" w:rsidRDefault="002D4152" w:rsidP="002D4152">
      <w:pPr>
        <w:rPr>
          <w:lang w:val="en-US"/>
        </w:rPr>
      </w:pPr>
    </w:p>
    <w:p w14:paraId="2364FC59" w14:textId="77777777" w:rsidR="002D4152" w:rsidRPr="003068B4" w:rsidRDefault="002D4152" w:rsidP="002D4152">
      <w:pPr>
        <w:pStyle w:val="berschrift1"/>
        <w:spacing w:before="0" w:after="0"/>
        <w:ind w:left="431" w:hanging="431"/>
        <w:rPr>
          <w:rFonts w:eastAsia="Century Gothic" w:cs="Century Gothic"/>
          <w:szCs w:val="24"/>
          <w:lang w:val="de-AT"/>
        </w:rPr>
      </w:pPr>
      <w:bookmarkStart w:id="34" w:name="_Toc222211259"/>
      <w:r w:rsidRPr="003068B4">
        <w:rPr>
          <w:rFonts w:eastAsia="Century Gothic" w:cs="Century Gothic"/>
          <w:szCs w:val="24"/>
          <w:lang w:val="de-AT"/>
        </w:rPr>
        <w:t>Performance and supplier evaluation</w:t>
      </w:r>
      <w:bookmarkEnd w:id="34"/>
    </w:p>
    <w:p w14:paraId="6B31756C" w14:textId="77777777" w:rsidR="00FA720B" w:rsidRPr="00FA720B" w:rsidRDefault="00FA720B" w:rsidP="00FA720B">
      <w:pPr>
        <w:rPr>
          <w:lang w:val="en-US"/>
        </w:rPr>
      </w:pPr>
      <w:r w:rsidRPr="00FA720B">
        <w:rPr>
          <w:lang w:val="en-US"/>
        </w:rPr>
        <w:t>SMB regularly evaluates supplier performance based on the criteria of quality, on-time delivery, quality of documentation, responsiveness, and cooperation.</w:t>
      </w:r>
    </w:p>
    <w:p w14:paraId="63729EC0" w14:textId="77777777" w:rsidR="00FA720B" w:rsidRPr="00FA720B" w:rsidRDefault="00FA720B" w:rsidP="00FA720B">
      <w:pPr>
        <w:rPr>
          <w:lang w:val="en-US"/>
        </w:rPr>
      </w:pPr>
      <w:r w:rsidRPr="00FA720B">
        <w:rPr>
          <w:lang w:val="en-US"/>
        </w:rPr>
        <w:t>In the event of persistently inadequate performance, SMB reserves the right to conduct a re-evaluation, escalate the matter, or coordinate joint measures within the framework of supplier management.</w:t>
      </w:r>
    </w:p>
    <w:p w14:paraId="67F4B606" w14:textId="77777777" w:rsidR="002D4152" w:rsidRPr="00860467" w:rsidRDefault="002D4152" w:rsidP="002D4152">
      <w:pPr>
        <w:rPr>
          <w:lang w:val="en-US"/>
        </w:rPr>
      </w:pPr>
    </w:p>
    <w:p w14:paraId="31F7F2DA" w14:textId="77777777" w:rsidR="002D4152" w:rsidRPr="00633B19" w:rsidRDefault="002D4152" w:rsidP="002D4152">
      <w:pPr>
        <w:pStyle w:val="berschrift1"/>
        <w:spacing w:before="0" w:after="0"/>
        <w:ind w:left="431" w:hanging="431"/>
        <w:rPr>
          <w:rFonts w:eastAsia="Century Gothic" w:cs="Century Gothic"/>
          <w:szCs w:val="24"/>
          <w:lang w:val="de-AT"/>
        </w:rPr>
      </w:pPr>
      <w:bookmarkStart w:id="35" w:name="_Toc222211260"/>
      <w:r w:rsidRPr="00633B19">
        <w:rPr>
          <w:rFonts w:eastAsia="Century Gothic" w:cs="Century Gothic"/>
          <w:szCs w:val="24"/>
          <w:lang w:val="de-AT"/>
        </w:rPr>
        <w:t>Term and scope</w:t>
      </w:r>
      <w:bookmarkEnd w:id="35"/>
    </w:p>
    <w:p w14:paraId="3AFA037D" w14:textId="77777777" w:rsidR="00FA720B" w:rsidRPr="00FA720B" w:rsidRDefault="00FA720B" w:rsidP="00FA720B">
      <w:pPr>
        <w:rPr>
          <w:lang w:val="en-US"/>
        </w:rPr>
      </w:pPr>
      <w:r w:rsidRPr="00FA720B">
        <w:rPr>
          <w:lang w:val="en-US"/>
        </w:rPr>
        <w:t>This QSV enters into force upon signature and remains in effect until revoked or replaced in writing by a new version.</w:t>
      </w:r>
    </w:p>
    <w:p w14:paraId="24649A45" w14:textId="77777777" w:rsidR="00FA720B" w:rsidRPr="00FA720B" w:rsidRDefault="00FA720B" w:rsidP="00FA720B">
      <w:pPr>
        <w:rPr>
          <w:lang w:val="en-US"/>
        </w:rPr>
      </w:pPr>
      <w:r w:rsidRPr="00FA720B">
        <w:rPr>
          <w:lang w:val="en-US"/>
        </w:rPr>
        <w:t>Amendments and additions to this agreement must be made in writing.</w:t>
      </w:r>
    </w:p>
    <w:p w14:paraId="434EB784" w14:textId="77777777" w:rsidR="002D4152" w:rsidRPr="00860467" w:rsidRDefault="002D4152" w:rsidP="002D4152">
      <w:pPr>
        <w:pStyle w:val="StandardWeb"/>
        <w:rPr>
          <w:lang w:val="en-US"/>
        </w:rPr>
      </w:pPr>
    </w:p>
    <w:p w14:paraId="3DE30950" w14:textId="77777777" w:rsidR="002D4152" w:rsidRDefault="002D4152" w:rsidP="002D4152">
      <w:pPr>
        <w:pStyle w:val="berschrift2"/>
      </w:pPr>
      <w:bookmarkStart w:id="36" w:name="_Toc222211261"/>
      <w:r>
        <w:t>Approval</w:t>
      </w:r>
      <w:bookmarkEnd w:id="36"/>
    </w:p>
    <w:p w14:paraId="49E90B0B" w14:textId="77777777" w:rsidR="002D4152" w:rsidRPr="008B462D" w:rsidRDefault="002D4152" w:rsidP="002D4152">
      <w:pPr>
        <w:rPr>
          <w:lang w:val="de-DE"/>
        </w:rPr>
      </w:pPr>
    </w:p>
    <w:p w14:paraId="0C597BB1" w14:textId="77777777" w:rsidR="002D4152" w:rsidRDefault="002D4152" w:rsidP="002D4152">
      <w:r>
        <w:t>Place, date: _______________________________</w:t>
      </w:r>
    </w:p>
    <w:p w14:paraId="5FEAEED8" w14:textId="77777777" w:rsidR="002D4152" w:rsidRDefault="002D4152" w:rsidP="002D4152"/>
    <w:p w14:paraId="52D9C17D" w14:textId="77777777" w:rsidR="002D4152" w:rsidRPr="002258C6" w:rsidRDefault="002D4152" w:rsidP="002D4152">
      <w:pPr>
        <w:rPr>
          <w:b/>
          <w:bCs/>
        </w:rPr>
      </w:pPr>
      <w:r w:rsidRPr="002258C6">
        <w:rPr>
          <w:b/>
          <w:bCs/>
        </w:rPr>
        <w:t>For SMB Industrieanlagenbau GmbH</w:t>
      </w:r>
    </w:p>
    <w:p w14:paraId="06E0BD44" w14:textId="77777777" w:rsidR="002D4152" w:rsidRDefault="002D4152" w:rsidP="002D4152"/>
    <w:p w14:paraId="76C99FE8" w14:textId="77777777" w:rsidR="002D4152" w:rsidRDefault="002D4152" w:rsidP="002D4152">
      <w:pPr>
        <w:spacing w:line="480" w:lineRule="auto"/>
      </w:pPr>
      <w:r>
        <w:t>Management: _______________________________</w:t>
      </w:r>
    </w:p>
    <w:p w14:paraId="30088F0D" w14:textId="77777777" w:rsidR="002D4152" w:rsidRDefault="002D4152" w:rsidP="002D4152">
      <w:pPr>
        <w:spacing w:line="480" w:lineRule="auto"/>
      </w:pPr>
      <w:r>
        <w:t>Head of IMS/QM: _______________________________</w:t>
      </w:r>
    </w:p>
    <w:p w14:paraId="5364C4A8" w14:textId="77777777" w:rsidR="002D4152" w:rsidRDefault="002D4152" w:rsidP="002D4152">
      <w:pPr>
        <w:spacing w:line="480" w:lineRule="auto"/>
      </w:pPr>
      <w:r>
        <w:t>Signature:</w:t>
      </w:r>
    </w:p>
    <w:p w14:paraId="5BD94030" w14:textId="77777777" w:rsidR="002D4152" w:rsidRDefault="002D4152" w:rsidP="002D4152"/>
    <w:p w14:paraId="38806581" w14:textId="77777777" w:rsidR="002D4152" w:rsidRDefault="002D4152" w:rsidP="002D4152">
      <w:pPr>
        <w:spacing w:line="480" w:lineRule="auto"/>
        <w:rPr>
          <w:b/>
          <w:bCs/>
        </w:rPr>
      </w:pPr>
      <w:r w:rsidRPr="002258C6">
        <w:rPr>
          <w:b/>
          <w:bCs/>
        </w:rPr>
        <w:t>For the supplier</w:t>
      </w:r>
    </w:p>
    <w:p w14:paraId="30C2C734" w14:textId="77777777" w:rsidR="002D4152" w:rsidRPr="002258C6" w:rsidRDefault="002D4152" w:rsidP="002D4152">
      <w:pPr>
        <w:spacing w:line="480" w:lineRule="auto"/>
        <w:rPr>
          <w:b/>
          <w:bCs/>
        </w:rPr>
      </w:pPr>
      <w:r>
        <w:t>Place, date: _______________________________</w:t>
      </w:r>
    </w:p>
    <w:p w14:paraId="3B60D85A" w14:textId="77777777" w:rsidR="002D4152" w:rsidRDefault="002D4152" w:rsidP="002D4152">
      <w:pPr>
        <w:spacing w:line="480" w:lineRule="auto"/>
      </w:pPr>
      <w:r>
        <w:t>Company name: _______________________________</w:t>
      </w:r>
    </w:p>
    <w:p w14:paraId="0D58D2F5" w14:textId="77777777" w:rsidR="002D4152" w:rsidRDefault="002D4152" w:rsidP="002D4152">
      <w:pPr>
        <w:spacing w:line="480" w:lineRule="auto"/>
      </w:pPr>
      <w:r>
        <w:t>Name:</w:t>
      </w:r>
    </w:p>
    <w:p w14:paraId="23A1C7D0" w14:textId="77777777" w:rsidR="002D4152" w:rsidRPr="002D4152" w:rsidRDefault="002D4152" w:rsidP="002D4152">
      <w:pPr>
        <w:spacing w:line="480" w:lineRule="auto"/>
        <w:rPr>
          <w:lang w:val="en-US"/>
        </w:rPr>
      </w:pPr>
      <w:r w:rsidRPr="002D4152">
        <w:rPr>
          <w:lang w:val="en-US"/>
        </w:rPr>
        <w:t>Position: _______________________________</w:t>
      </w:r>
    </w:p>
    <w:p w14:paraId="107B42FE" w14:textId="77777777" w:rsidR="002D4152" w:rsidRPr="002D4152" w:rsidRDefault="002D4152" w:rsidP="002D4152">
      <w:pPr>
        <w:spacing w:line="480" w:lineRule="auto"/>
        <w:rPr>
          <w:lang w:val="en-US"/>
        </w:rPr>
      </w:pPr>
      <w:r w:rsidRPr="002D4152">
        <w:rPr>
          <w:lang w:val="en-US"/>
        </w:rPr>
        <w:t>Signature: _______________________________</w:t>
      </w:r>
    </w:p>
    <w:p w14:paraId="63C5C83D" w14:textId="77777777" w:rsidR="002D4152" w:rsidRPr="002D4152" w:rsidRDefault="002D4152" w:rsidP="002D4152">
      <w:pPr>
        <w:spacing w:line="480" w:lineRule="auto"/>
        <w:rPr>
          <w:lang w:val="en-US"/>
        </w:rPr>
      </w:pPr>
      <w:r w:rsidRPr="002D4152">
        <w:rPr>
          <w:lang w:val="en-US"/>
        </w:rPr>
        <w:t>Name:</w:t>
      </w:r>
    </w:p>
    <w:p w14:paraId="359FAE51" w14:textId="77777777" w:rsidR="002D4152" w:rsidRPr="002D4152" w:rsidRDefault="002D4152" w:rsidP="002D4152">
      <w:pPr>
        <w:spacing w:line="480" w:lineRule="auto"/>
        <w:rPr>
          <w:lang w:val="en-US"/>
        </w:rPr>
      </w:pPr>
      <w:r w:rsidRPr="002D4152">
        <w:rPr>
          <w:lang w:val="en-US"/>
        </w:rPr>
        <w:t>Position: _______________________________</w:t>
      </w:r>
    </w:p>
    <w:p w14:paraId="49EF3151" w14:textId="77777777" w:rsidR="002D4152" w:rsidRPr="002D4152" w:rsidRDefault="002D4152" w:rsidP="002D4152">
      <w:pPr>
        <w:spacing w:line="480" w:lineRule="auto"/>
        <w:rPr>
          <w:lang w:val="en-US"/>
        </w:rPr>
      </w:pPr>
      <w:r w:rsidRPr="002D4152">
        <w:rPr>
          <w:lang w:val="en-US"/>
        </w:rPr>
        <w:lastRenderedPageBreak/>
        <w:t>Signature:</w:t>
      </w:r>
    </w:p>
    <w:p w14:paraId="50E251CC" w14:textId="235C4519" w:rsidR="00331F11" w:rsidRPr="002D4152" w:rsidRDefault="00331F11" w:rsidP="000346A0">
      <w:pPr>
        <w:spacing w:line="480" w:lineRule="auto"/>
        <w:rPr>
          <w:lang w:val="en-US"/>
        </w:rPr>
      </w:pPr>
    </w:p>
    <w:sectPr w:rsidR="00331F11" w:rsidRPr="002D4152" w:rsidSect="006C4DFB">
      <w:headerReference w:type="default" r:id="rId13"/>
      <w:footerReference w:type="default" r:id="rId14"/>
      <w:pgSz w:w="11906" w:h="16838"/>
      <w:pgMar w:top="1701"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E44A" w14:textId="77777777" w:rsidR="00D1470C" w:rsidRDefault="00D1470C" w:rsidP="008C1D72">
      <w:r>
        <w:separator/>
      </w:r>
    </w:p>
  </w:endnote>
  <w:endnote w:type="continuationSeparator" w:id="0">
    <w:p w14:paraId="7E8BE93D" w14:textId="77777777" w:rsidR="00D1470C" w:rsidRDefault="00D1470C" w:rsidP="008C1D72">
      <w:r>
        <w:continuationSeparator/>
      </w:r>
    </w:p>
  </w:endnote>
  <w:endnote w:type="continuationNotice" w:id="1">
    <w:p w14:paraId="37F576C6" w14:textId="77777777" w:rsidR="00D1470C" w:rsidRDefault="00D14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1A90" w14:textId="1ADE32A3" w:rsidR="002C533A" w:rsidRPr="002C533A" w:rsidRDefault="000346A0" w:rsidP="00FD18C7">
    <w:pPr>
      <w:pStyle w:val="Fuzeile"/>
      <w:ind w:right="-115"/>
      <w:jc w:val="center"/>
      <w:rPr>
        <w:sz w:val="18"/>
        <w:szCs w:val="18"/>
      </w:rPr>
    </w:pPr>
    <w:r>
      <w:rPr>
        <w:sz w:val="18"/>
        <w:szCs w:val="18"/>
      </w:rPr>
      <w:t>Qualitätssicherungsvereinbarung</w:t>
    </w:r>
    <w:r w:rsidR="002C533A">
      <w:rPr>
        <w:sz w:val="18"/>
        <w:szCs w:val="18"/>
      </w:rPr>
      <w:tab/>
    </w:r>
    <w:r w:rsidR="002C533A">
      <w:rPr>
        <w:rFonts w:ascii="Calibri" w:hAnsi="Calibri" w:cs="Calibri"/>
        <w:sz w:val="22"/>
      </w:rPr>
      <w:tab/>
    </w:r>
    <w:r w:rsidR="00FD18C7">
      <w:rPr>
        <w:rFonts w:ascii="Calibri" w:hAnsi="Calibri" w:cs="Calibri"/>
        <w:sz w:val="22"/>
      </w:rPr>
      <w:tab/>
    </w:r>
    <w:r>
      <w:rPr>
        <w:sz w:val="18"/>
        <w:szCs w:val="18"/>
        <w:lang w:val="de-DE"/>
      </w:rPr>
      <w:t>Seite</w:t>
    </w:r>
    <w:r w:rsidR="002C533A" w:rsidRPr="00AD266E">
      <w:rPr>
        <w:sz w:val="18"/>
        <w:szCs w:val="18"/>
        <w:lang w:val="de-DE"/>
      </w:rPr>
      <w:t xml:space="preserve"> </w:t>
    </w:r>
    <w:r w:rsidR="002C533A" w:rsidRPr="00AD266E">
      <w:rPr>
        <w:sz w:val="18"/>
        <w:szCs w:val="18"/>
      </w:rPr>
      <w:fldChar w:fldCharType="begin"/>
    </w:r>
    <w:r w:rsidR="002C533A" w:rsidRPr="00AD266E">
      <w:rPr>
        <w:sz w:val="18"/>
        <w:szCs w:val="18"/>
      </w:rPr>
      <w:instrText>PAGE  \* Arabic  \* MERGEFORMAT</w:instrText>
    </w:r>
    <w:r w:rsidR="002C533A" w:rsidRPr="00AD266E">
      <w:rPr>
        <w:sz w:val="18"/>
        <w:szCs w:val="18"/>
      </w:rPr>
      <w:fldChar w:fldCharType="separate"/>
    </w:r>
    <w:r w:rsidR="002C533A">
      <w:rPr>
        <w:sz w:val="18"/>
        <w:szCs w:val="18"/>
      </w:rPr>
      <w:t>1</w:t>
    </w:r>
    <w:r w:rsidR="002C533A" w:rsidRPr="00AD266E">
      <w:rPr>
        <w:sz w:val="18"/>
        <w:szCs w:val="18"/>
      </w:rPr>
      <w:fldChar w:fldCharType="end"/>
    </w:r>
    <w:r w:rsidR="002C533A" w:rsidRPr="00AD266E">
      <w:rPr>
        <w:sz w:val="18"/>
        <w:szCs w:val="18"/>
        <w:lang w:val="de-DE"/>
      </w:rPr>
      <w:t xml:space="preserve"> </w:t>
    </w:r>
    <w:r>
      <w:rPr>
        <w:sz w:val="18"/>
        <w:szCs w:val="18"/>
        <w:lang w:val="de-DE"/>
      </w:rPr>
      <w:t>von</w:t>
    </w:r>
    <w:r w:rsidR="002C533A" w:rsidRPr="00AD266E">
      <w:rPr>
        <w:sz w:val="18"/>
        <w:szCs w:val="18"/>
        <w:lang w:val="de-DE"/>
      </w:rPr>
      <w:t xml:space="preserve"> </w:t>
    </w:r>
    <w:r w:rsidR="002C533A" w:rsidRPr="00AD266E">
      <w:rPr>
        <w:sz w:val="18"/>
        <w:szCs w:val="18"/>
      </w:rPr>
      <w:fldChar w:fldCharType="begin"/>
    </w:r>
    <w:r w:rsidR="002C533A" w:rsidRPr="00AD266E">
      <w:rPr>
        <w:sz w:val="18"/>
        <w:szCs w:val="18"/>
      </w:rPr>
      <w:instrText>NUMPAGES  \* Arabic  \* MERGEFORMAT</w:instrText>
    </w:r>
    <w:r w:rsidR="002C533A" w:rsidRPr="00AD266E">
      <w:rPr>
        <w:sz w:val="18"/>
        <w:szCs w:val="18"/>
      </w:rPr>
      <w:fldChar w:fldCharType="separate"/>
    </w:r>
    <w:r w:rsidR="002C533A">
      <w:rPr>
        <w:sz w:val="18"/>
        <w:szCs w:val="18"/>
      </w:rPr>
      <w:t>3</w:t>
    </w:r>
    <w:r w:rsidR="002C533A" w:rsidRPr="00AD266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4B17" w14:textId="776506C2" w:rsidR="002D4152" w:rsidRPr="002C533A" w:rsidRDefault="002D4152" w:rsidP="005A2A51">
    <w:pPr>
      <w:pStyle w:val="Fuzeile"/>
      <w:ind w:right="-115"/>
      <w:rPr>
        <w:sz w:val="18"/>
        <w:szCs w:val="18"/>
      </w:rPr>
    </w:pPr>
    <w:r>
      <w:rPr>
        <w:sz w:val="18"/>
        <w:szCs w:val="18"/>
      </w:rPr>
      <w:t>Quality assurance agreement</w:t>
    </w:r>
    <w:r>
      <w:rPr>
        <w:sz w:val="18"/>
        <w:szCs w:val="18"/>
      </w:rPr>
      <w:tab/>
    </w:r>
    <w:r>
      <w:rPr>
        <w:rFonts w:ascii="Calibri" w:hAnsi="Calibri" w:cs="Calibri"/>
        <w:sz w:val="22"/>
      </w:rPr>
      <w:tab/>
    </w:r>
    <w:r>
      <w:rPr>
        <w:rFonts w:ascii="Calibri" w:hAnsi="Calibri" w:cs="Calibri"/>
        <w:sz w:val="22"/>
      </w:rPr>
      <w:tab/>
    </w:r>
    <w:r>
      <w:rPr>
        <w:sz w:val="18"/>
        <w:szCs w:val="18"/>
        <w:lang w:val="de-DE"/>
      </w:rPr>
      <w:t>Page</w:t>
    </w:r>
    <w:r w:rsidRPr="00AD266E">
      <w:rPr>
        <w:sz w:val="18"/>
        <w:szCs w:val="18"/>
        <w:lang w:val="de-DE"/>
      </w:rPr>
      <w:t xml:space="preserve"> </w:t>
    </w:r>
    <w:r w:rsidRPr="00AD266E">
      <w:rPr>
        <w:sz w:val="18"/>
        <w:szCs w:val="18"/>
      </w:rPr>
      <w:fldChar w:fldCharType="begin"/>
    </w:r>
    <w:r w:rsidRPr="00AD266E">
      <w:rPr>
        <w:sz w:val="18"/>
        <w:szCs w:val="18"/>
      </w:rPr>
      <w:instrText>PAGE  \* Arabic  \* MERGEFORMAT</w:instrText>
    </w:r>
    <w:r w:rsidRPr="00AD266E">
      <w:rPr>
        <w:sz w:val="18"/>
        <w:szCs w:val="18"/>
      </w:rPr>
      <w:fldChar w:fldCharType="separate"/>
    </w:r>
    <w:r>
      <w:rPr>
        <w:sz w:val="18"/>
        <w:szCs w:val="18"/>
      </w:rPr>
      <w:t>1</w:t>
    </w:r>
    <w:r w:rsidRPr="00AD266E">
      <w:rPr>
        <w:sz w:val="18"/>
        <w:szCs w:val="18"/>
      </w:rPr>
      <w:fldChar w:fldCharType="end"/>
    </w:r>
    <w:r w:rsidRPr="00AD266E">
      <w:rPr>
        <w:sz w:val="18"/>
        <w:szCs w:val="18"/>
        <w:lang w:val="de-DE"/>
      </w:rPr>
      <w:t xml:space="preserve"> </w:t>
    </w:r>
    <w:r>
      <w:rPr>
        <w:sz w:val="18"/>
        <w:szCs w:val="18"/>
        <w:lang w:val="de-DE"/>
      </w:rPr>
      <w:t>of</w:t>
    </w:r>
    <w:r w:rsidRPr="00AD266E">
      <w:rPr>
        <w:sz w:val="18"/>
        <w:szCs w:val="18"/>
        <w:lang w:val="de-DE"/>
      </w:rPr>
      <w:t xml:space="preserve"> </w:t>
    </w:r>
    <w:r w:rsidRPr="00AD266E">
      <w:rPr>
        <w:sz w:val="18"/>
        <w:szCs w:val="18"/>
      </w:rPr>
      <w:fldChar w:fldCharType="begin"/>
    </w:r>
    <w:r w:rsidRPr="00AD266E">
      <w:rPr>
        <w:sz w:val="18"/>
        <w:szCs w:val="18"/>
      </w:rPr>
      <w:instrText>NUMPAGES  \* Arabic  \* MERGEFORMAT</w:instrText>
    </w:r>
    <w:r w:rsidRPr="00AD266E">
      <w:rPr>
        <w:sz w:val="18"/>
        <w:szCs w:val="18"/>
      </w:rPr>
      <w:fldChar w:fldCharType="separate"/>
    </w:r>
    <w:r>
      <w:rPr>
        <w:sz w:val="18"/>
        <w:szCs w:val="18"/>
      </w:rPr>
      <w:t>3</w:t>
    </w:r>
    <w:r w:rsidRPr="00AD266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47CA" w14:textId="77777777" w:rsidR="00D1470C" w:rsidRDefault="00D1470C" w:rsidP="008C1D72">
      <w:r>
        <w:separator/>
      </w:r>
    </w:p>
  </w:footnote>
  <w:footnote w:type="continuationSeparator" w:id="0">
    <w:p w14:paraId="16B3E20F" w14:textId="77777777" w:rsidR="00D1470C" w:rsidRDefault="00D1470C" w:rsidP="008C1D72">
      <w:r>
        <w:continuationSeparator/>
      </w:r>
    </w:p>
  </w:footnote>
  <w:footnote w:type="continuationNotice" w:id="1">
    <w:p w14:paraId="6949F31E" w14:textId="77777777" w:rsidR="00D1470C" w:rsidRDefault="00D14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3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gridCol w:w="2041"/>
    </w:tblGrid>
    <w:tr w:rsidR="008C1D72" w:rsidRPr="002921CB" w14:paraId="624924DA" w14:textId="77777777" w:rsidTr="00570742">
      <w:trPr>
        <w:trHeight w:val="563"/>
      </w:trPr>
      <w:tc>
        <w:tcPr>
          <w:tcW w:w="8391" w:type="dxa"/>
          <w:vMerge w:val="restart"/>
        </w:tcPr>
        <w:p w14:paraId="697308AD" w14:textId="77777777" w:rsidR="008C1D72" w:rsidRDefault="008C1D72" w:rsidP="008C1D72">
          <w:pPr>
            <w:pStyle w:val="Kopfzeile"/>
            <w:tabs>
              <w:tab w:val="clear" w:pos="4536"/>
              <w:tab w:val="left" w:pos="1586"/>
              <w:tab w:val="left" w:pos="1634"/>
              <w:tab w:val="left" w:pos="1926"/>
            </w:tabs>
            <w:rPr>
              <w:rFonts w:ascii="Century Gothic" w:hAnsi="Century Gothic"/>
              <w:bCs/>
              <w:sz w:val="12"/>
              <w:szCs w:val="12"/>
            </w:rPr>
          </w:pPr>
        </w:p>
        <w:tbl>
          <w:tblPr>
            <w:tblStyle w:val="Tabellenraster"/>
            <w:tblW w:w="8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4804"/>
          </w:tblGrid>
          <w:tr w:rsidR="008C1D72" w14:paraId="3EEB4DC3" w14:textId="77777777" w:rsidTr="000A4A2D">
            <w:trPr>
              <w:trHeight w:val="283"/>
            </w:trPr>
            <w:tc>
              <w:tcPr>
                <w:tcW w:w="3439" w:type="dxa"/>
                <w:vAlign w:val="center"/>
              </w:tcPr>
              <w:p w14:paraId="7D20CDC7" w14:textId="15375965" w:rsidR="008C1D72" w:rsidRPr="00313353" w:rsidRDefault="00EA350B" w:rsidP="008C1D72">
                <w:pPr>
                  <w:pStyle w:val="Kopfzeile"/>
                  <w:tabs>
                    <w:tab w:val="clear" w:pos="4536"/>
                    <w:tab w:val="left" w:pos="1586"/>
                    <w:tab w:val="left" w:pos="1634"/>
                    <w:tab w:val="left" w:pos="1926"/>
                  </w:tabs>
                  <w:rPr>
                    <w:rFonts w:ascii="Century Gothic" w:hAnsi="Century Gothic"/>
                    <w:bCs/>
                    <w:sz w:val="18"/>
                    <w:szCs w:val="18"/>
                  </w:rPr>
                </w:pPr>
                <w:r w:rsidRPr="00E23F9B">
                  <w:rPr>
                    <w:rFonts w:ascii="Century Gothic" w:hAnsi="Century Gothic"/>
                    <w:bCs/>
                    <w:sz w:val="18"/>
                    <w:szCs w:val="18"/>
                  </w:rPr>
                  <w:t>SM</w:t>
                </w:r>
                <w:r w:rsidR="00827C68" w:rsidRPr="00E23F9B">
                  <w:rPr>
                    <w:rFonts w:ascii="Century Gothic" w:hAnsi="Century Gothic"/>
                    <w:bCs/>
                    <w:sz w:val="18"/>
                    <w:szCs w:val="18"/>
                  </w:rPr>
                  <w:t>R</w:t>
                </w:r>
                <w:r w:rsidR="006D09C8" w:rsidRPr="00E23F9B">
                  <w:rPr>
                    <w:rFonts w:ascii="Century Gothic" w:hAnsi="Century Gothic"/>
                    <w:bCs/>
                    <w:sz w:val="18"/>
                    <w:szCs w:val="18"/>
                  </w:rPr>
                  <w:t>-</w:t>
                </w:r>
                <w:r w:rsidR="00E23F9B" w:rsidRPr="00E23F9B">
                  <w:rPr>
                    <w:rFonts w:ascii="Century Gothic" w:hAnsi="Century Gothic"/>
                    <w:bCs/>
                    <w:sz w:val="18"/>
                    <w:szCs w:val="18"/>
                  </w:rPr>
                  <w:t>0</w:t>
                </w:r>
                <w:r w:rsidR="00E23F9B">
                  <w:rPr>
                    <w:rFonts w:ascii="Century Gothic" w:hAnsi="Century Gothic"/>
                    <w:bCs/>
                    <w:sz w:val="18"/>
                    <w:szCs w:val="18"/>
                  </w:rPr>
                  <w:t>85</w:t>
                </w:r>
              </w:p>
            </w:tc>
            <w:tc>
              <w:tcPr>
                <w:tcW w:w="4804" w:type="dxa"/>
                <w:vAlign w:val="center"/>
              </w:tcPr>
              <w:p w14:paraId="6E8351F0" w14:textId="0B08BF32" w:rsidR="008C1D72" w:rsidRPr="00672E9B" w:rsidRDefault="008C1D72" w:rsidP="00AC7ACC">
                <w:pPr>
                  <w:pStyle w:val="Kopfzeile"/>
                  <w:tabs>
                    <w:tab w:val="clear" w:pos="4536"/>
                    <w:tab w:val="left" w:pos="1586"/>
                    <w:tab w:val="left" w:pos="1634"/>
                    <w:tab w:val="left" w:pos="1926"/>
                  </w:tabs>
                  <w:jc w:val="center"/>
                  <w:rPr>
                    <w:rFonts w:ascii="Century Gothic" w:hAnsi="Century Gothic"/>
                    <w:bCs/>
                    <w:sz w:val="16"/>
                    <w:szCs w:val="16"/>
                  </w:rPr>
                </w:pPr>
              </w:p>
            </w:tc>
          </w:tr>
          <w:tr w:rsidR="00260CC8" w14:paraId="6FE01E35" w14:textId="77777777" w:rsidTr="000A4A2D">
            <w:trPr>
              <w:trHeight w:val="283"/>
            </w:trPr>
            <w:tc>
              <w:tcPr>
                <w:tcW w:w="8243" w:type="dxa"/>
                <w:gridSpan w:val="2"/>
                <w:vAlign w:val="center"/>
              </w:tcPr>
              <w:p w14:paraId="49522848" w14:textId="76D44518" w:rsidR="00260CC8" w:rsidRPr="00672E9B" w:rsidRDefault="003B359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Qualitätssicherungsvereinbarung</w:t>
                </w:r>
              </w:p>
            </w:tc>
          </w:tr>
          <w:tr w:rsidR="00260CC8" w14:paraId="00466A04" w14:textId="77777777" w:rsidTr="000A4A2D">
            <w:trPr>
              <w:trHeight w:val="283"/>
            </w:trPr>
            <w:tc>
              <w:tcPr>
                <w:tcW w:w="8243" w:type="dxa"/>
                <w:gridSpan w:val="2"/>
                <w:vAlign w:val="center"/>
              </w:tcPr>
              <w:p w14:paraId="38F73F5B" w14:textId="4AFC52D0" w:rsidR="00260CC8" w:rsidRPr="00672E9B" w:rsidRDefault="00260CC8" w:rsidP="008C1D72">
                <w:pPr>
                  <w:pStyle w:val="Kopfzeile"/>
                  <w:tabs>
                    <w:tab w:val="clear" w:pos="4536"/>
                    <w:tab w:val="left" w:pos="1586"/>
                    <w:tab w:val="left" w:pos="1634"/>
                    <w:tab w:val="left" w:pos="1926"/>
                  </w:tabs>
                  <w:rPr>
                    <w:rFonts w:ascii="Century Gothic" w:hAnsi="Century Gothic"/>
                    <w:sz w:val="18"/>
                    <w:szCs w:val="18"/>
                  </w:rPr>
                </w:pPr>
                <w:r w:rsidRPr="00313353">
                  <w:rPr>
                    <w:rFonts w:ascii="Century Gothic" w:hAnsi="Century Gothic"/>
                    <w:bCs/>
                    <w:sz w:val="18"/>
                    <w:szCs w:val="18"/>
                  </w:rPr>
                  <w:t xml:space="preserve">Geltungsbereich: </w:t>
                </w:r>
                <w:r w:rsidR="00C4700E">
                  <w:rPr>
                    <w:rFonts w:ascii="Century Gothic" w:hAnsi="Century Gothic"/>
                    <w:bCs/>
                    <w:sz w:val="18"/>
                    <w:szCs w:val="18"/>
                  </w:rPr>
                  <w:t>Lieferanten</w:t>
                </w:r>
              </w:p>
            </w:tc>
          </w:tr>
          <w:tr w:rsidR="00270A60" w14:paraId="28869D37" w14:textId="77777777" w:rsidTr="000A4A2D">
            <w:trPr>
              <w:trHeight w:val="283"/>
            </w:trPr>
            <w:tc>
              <w:tcPr>
                <w:tcW w:w="3439" w:type="dxa"/>
                <w:vAlign w:val="center"/>
              </w:tcPr>
              <w:p w14:paraId="451DBC52" w14:textId="4F07FAD0" w:rsidR="00270A60" w:rsidRPr="001B5B9D" w:rsidRDefault="001B5B9D" w:rsidP="008C1D72">
                <w:pPr>
                  <w:pStyle w:val="Kopfzeile"/>
                  <w:tabs>
                    <w:tab w:val="clear" w:pos="4536"/>
                    <w:tab w:val="left" w:pos="1586"/>
                    <w:tab w:val="left" w:pos="1634"/>
                    <w:tab w:val="left" w:pos="1926"/>
                  </w:tabs>
                  <w:rPr>
                    <w:rFonts w:ascii="Century Gothic" w:hAnsi="Century Gothic"/>
                    <w:bCs/>
                    <w:sz w:val="18"/>
                    <w:szCs w:val="18"/>
                  </w:rPr>
                </w:pPr>
                <w:r w:rsidRPr="001B5B9D">
                  <w:rPr>
                    <w:rFonts w:ascii="Century Gothic" w:hAnsi="Century Gothic"/>
                    <w:bCs/>
                    <w:sz w:val="18"/>
                    <w:szCs w:val="18"/>
                  </w:rPr>
                  <w:t>Revision 0</w:t>
                </w:r>
                <w:r w:rsidR="00E23F9B">
                  <w:rPr>
                    <w:rFonts w:ascii="Century Gothic" w:hAnsi="Century Gothic"/>
                    <w:bCs/>
                    <w:sz w:val="18"/>
                    <w:szCs w:val="18"/>
                  </w:rPr>
                  <w:t>2</w:t>
                </w:r>
                <w:r w:rsidR="00AE653A">
                  <w:rPr>
                    <w:rFonts w:ascii="Century Gothic" w:hAnsi="Century Gothic"/>
                    <w:bCs/>
                    <w:sz w:val="18"/>
                    <w:szCs w:val="18"/>
                  </w:rPr>
                  <w:t>/260</w:t>
                </w:r>
                <w:r w:rsidR="00E23F9B">
                  <w:rPr>
                    <w:rFonts w:ascii="Century Gothic" w:hAnsi="Century Gothic"/>
                    <w:bCs/>
                    <w:sz w:val="18"/>
                    <w:szCs w:val="18"/>
                  </w:rPr>
                  <w:t>5</w:t>
                </w:r>
              </w:p>
            </w:tc>
            <w:tc>
              <w:tcPr>
                <w:tcW w:w="4804" w:type="dxa"/>
                <w:vAlign w:val="center"/>
              </w:tcPr>
              <w:p w14:paraId="20CE61B2" w14:textId="77777777" w:rsidR="00270A60" w:rsidRPr="001B5B9D" w:rsidRDefault="00270A60" w:rsidP="008C1D72">
                <w:pPr>
                  <w:pStyle w:val="Kopfzeile"/>
                  <w:tabs>
                    <w:tab w:val="clear" w:pos="4536"/>
                    <w:tab w:val="left" w:pos="1586"/>
                    <w:tab w:val="left" w:pos="1634"/>
                    <w:tab w:val="left" w:pos="1926"/>
                  </w:tabs>
                  <w:rPr>
                    <w:rFonts w:ascii="Century Gothic" w:hAnsi="Century Gothic"/>
                    <w:bCs/>
                    <w:sz w:val="18"/>
                    <w:szCs w:val="18"/>
                  </w:rPr>
                </w:pPr>
              </w:p>
            </w:tc>
          </w:tr>
        </w:tbl>
        <w:p w14:paraId="285DDAC5" w14:textId="77777777" w:rsidR="008C1D72" w:rsidRPr="00570742" w:rsidRDefault="008C1D72" w:rsidP="008C1D72">
          <w:pPr>
            <w:pStyle w:val="Kopfzeile"/>
            <w:tabs>
              <w:tab w:val="clear" w:pos="4536"/>
              <w:tab w:val="left" w:pos="1586"/>
              <w:tab w:val="left" w:pos="1634"/>
              <w:tab w:val="left" w:pos="1926"/>
            </w:tabs>
            <w:rPr>
              <w:rFonts w:ascii="Century Gothic" w:hAnsi="Century Gothic"/>
              <w:bCs/>
              <w:sz w:val="4"/>
              <w:szCs w:val="4"/>
            </w:rPr>
          </w:pPr>
        </w:p>
      </w:tc>
      <w:tc>
        <w:tcPr>
          <w:tcW w:w="2041" w:type="dxa"/>
          <w:vAlign w:val="center"/>
        </w:tcPr>
        <w:p w14:paraId="339E7DB4" w14:textId="77777777" w:rsidR="008C1D72" w:rsidRPr="00F96D73" w:rsidRDefault="008C1D72" w:rsidP="008C1D72">
          <w:pPr>
            <w:pStyle w:val="Kopfzeile"/>
            <w:jc w:val="center"/>
            <w:rPr>
              <w:color w:val="467886" w:themeColor="hyperlink"/>
              <w:sz w:val="10"/>
              <w:szCs w:val="10"/>
              <w:u w:val="single"/>
              <w:lang w:val="de-DE"/>
            </w:rPr>
          </w:pPr>
          <w:r>
            <w:rPr>
              <w:noProof/>
            </w:rPr>
            <w:drawing>
              <wp:anchor distT="0" distB="0" distL="114300" distR="114300" simplePos="0" relativeHeight="251658240" behindDoc="0" locked="0" layoutInCell="1" allowOverlap="1" wp14:anchorId="6E33BCBD" wp14:editId="1346A9F8">
                <wp:simplePos x="0" y="0"/>
                <wp:positionH relativeFrom="column">
                  <wp:posOffset>24130</wp:posOffset>
                </wp:positionH>
                <wp:positionV relativeFrom="paragraph">
                  <wp:posOffset>46355</wp:posOffset>
                </wp:positionV>
                <wp:extent cx="1122680" cy="438785"/>
                <wp:effectExtent l="0" t="0" r="0" b="0"/>
                <wp:wrapThrough wrapText="bothSides">
                  <wp:wrapPolygon edited="0">
                    <wp:start x="733" y="938"/>
                    <wp:lineTo x="733" y="19693"/>
                    <wp:lineTo x="20525" y="19693"/>
                    <wp:lineTo x="20525" y="938"/>
                    <wp:lineTo x="733" y="938"/>
                  </wp:wrapPolygon>
                </wp:wrapThrough>
                <wp:docPr id="464728590" name="Grafik 1" descr="Ein Bild, das Schrift, Grafiken,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52124" name="Grafik 1" descr="Ein Bild, das Schrift, Grafiken, Logo,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5B9D" w:rsidRPr="002921CB" w14:paraId="5C48C17D" w14:textId="77777777" w:rsidTr="00570742">
      <w:trPr>
        <w:trHeight w:hRule="exact" w:val="422"/>
      </w:trPr>
      <w:tc>
        <w:tcPr>
          <w:tcW w:w="8391" w:type="dxa"/>
          <w:vMerge/>
          <w:vAlign w:val="center"/>
        </w:tcPr>
        <w:p w14:paraId="2B179D75" w14:textId="77777777" w:rsidR="008C1D72" w:rsidRDefault="008C1D72" w:rsidP="008C1D72">
          <w:pPr>
            <w:pStyle w:val="Kopfzeile"/>
            <w:jc w:val="center"/>
            <w:rPr>
              <w:b/>
              <w:sz w:val="28"/>
              <w:szCs w:val="28"/>
            </w:rPr>
          </w:pPr>
        </w:p>
      </w:tc>
      <w:tc>
        <w:tcPr>
          <w:tcW w:w="2041" w:type="dxa"/>
          <w:vAlign w:val="bottom"/>
        </w:tcPr>
        <w:p w14:paraId="44005850" w14:textId="77777777" w:rsidR="008C1D72" w:rsidRDefault="008C1D72" w:rsidP="00270A60">
          <w:pPr>
            <w:pStyle w:val="Kopfzeile"/>
            <w:ind w:right="-107"/>
            <w:jc w:val="center"/>
            <w:rPr>
              <w:noProof/>
              <w:lang w:eastAsia="de-AT"/>
            </w:rPr>
          </w:pPr>
        </w:p>
      </w:tc>
    </w:tr>
  </w:tbl>
  <w:p w14:paraId="0486F38A" w14:textId="77777777" w:rsidR="008C1D72" w:rsidRDefault="008C1D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3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gridCol w:w="2041"/>
    </w:tblGrid>
    <w:tr w:rsidR="002D4152" w:rsidRPr="002921CB" w14:paraId="10DD718E" w14:textId="77777777" w:rsidTr="00570742">
      <w:trPr>
        <w:trHeight w:val="563"/>
      </w:trPr>
      <w:tc>
        <w:tcPr>
          <w:tcW w:w="8391" w:type="dxa"/>
          <w:vMerge w:val="restart"/>
        </w:tcPr>
        <w:p w14:paraId="52B0C298" w14:textId="77777777" w:rsidR="002D4152" w:rsidRDefault="002D4152" w:rsidP="008C1D72">
          <w:pPr>
            <w:pStyle w:val="Kopfzeile"/>
            <w:tabs>
              <w:tab w:val="clear" w:pos="4536"/>
              <w:tab w:val="left" w:pos="1586"/>
              <w:tab w:val="left" w:pos="1634"/>
              <w:tab w:val="left" w:pos="1926"/>
            </w:tabs>
            <w:rPr>
              <w:rFonts w:ascii="Century Gothic" w:hAnsi="Century Gothic"/>
              <w:bCs/>
              <w:sz w:val="12"/>
              <w:szCs w:val="12"/>
            </w:rPr>
          </w:pPr>
        </w:p>
        <w:tbl>
          <w:tblPr>
            <w:tblStyle w:val="Tabellenraster"/>
            <w:tblW w:w="8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4804"/>
          </w:tblGrid>
          <w:tr w:rsidR="002D4152" w14:paraId="4B79E0F0" w14:textId="77777777" w:rsidTr="000A4A2D">
            <w:trPr>
              <w:trHeight w:val="283"/>
            </w:trPr>
            <w:tc>
              <w:tcPr>
                <w:tcW w:w="3439" w:type="dxa"/>
                <w:vAlign w:val="center"/>
              </w:tcPr>
              <w:p w14:paraId="62262732" w14:textId="66C59D0C" w:rsidR="002D4152" w:rsidRPr="00313353" w:rsidRDefault="002D4152" w:rsidP="008C1D72">
                <w:pPr>
                  <w:pStyle w:val="Kopfzeile"/>
                  <w:tabs>
                    <w:tab w:val="clear" w:pos="4536"/>
                    <w:tab w:val="left" w:pos="1586"/>
                    <w:tab w:val="left" w:pos="1634"/>
                    <w:tab w:val="left" w:pos="1926"/>
                  </w:tabs>
                  <w:rPr>
                    <w:rFonts w:ascii="Century Gothic" w:hAnsi="Century Gothic"/>
                    <w:bCs/>
                    <w:sz w:val="18"/>
                    <w:szCs w:val="18"/>
                  </w:rPr>
                </w:pPr>
                <w:r w:rsidRPr="00313353">
                  <w:rPr>
                    <w:rFonts w:ascii="Century Gothic" w:hAnsi="Century Gothic"/>
                    <w:bCs/>
                    <w:sz w:val="18"/>
                    <w:szCs w:val="18"/>
                  </w:rPr>
                  <w:t>SM</w:t>
                </w:r>
                <w:r>
                  <w:rPr>
                    <w:rFonts w:ascii="Century Gothic" w:hAnsi="Century Gothic"/>
                    <w:bCs/>
                    <w:sz w:val="18"/>
                    <w:szCs w:val="18"/>
                  </w:rPr>
                  <w:t>R-</w:t>
                </w:r>
                <w:r w:rsidR="00E23F9B">
                  <w:rPr>
                    <w:rFonts w:ascii="Century Gothic" w:hAnsi="Century Gothic"/>
                    <w:bCs/>
                    <w:sz w:val="18"/>
                    <w:szCs w:val="18"/>
                  </w:rPr>
                  <w:t>0</w:t>
                </w:r>
                <w:r>
                  <w:rPr>
                    <w:rFonts w:ascii="Century Gothic" w:hAnsi="Century Gothic"/>
                    <w:bCs/>
                    <w:sz w:val="18"/>
                    <w:szCs w:val="18"/>
                  </w:rPr>
                  <w:t>85</w:t>
                </w:r>
              </w:p>
            </w:tc>
            <w:tc>
              <w:tcPr>
                <w:tcW w:w="4804" w:type="dxa"/>
                <w:vAlign w:val="center"/>
              </w:tcPr>
              <w:p w14:paraId="6CBA8B2B" w14:textId="77777777" w:rsidR="002D4152" w:rsidRPr="00672E9B" w:rsidRDefault="002D4152" w:rsidP="00AC7ACC">
                <w:pPr>
                  <w:pStyle w:val="Kopfzeile"/>
                  <w:tabs>
                    <w:tab w:val="clear" w:pos="4536"/>
                    <w:tab w:val="left" w:pos="1586"/>
                    <w:tab w:val="left" w:pos="1634"/>
                    <w:tab w:val="left" w:pos="1926"/>
                  </w:tabs>
                  <w:jc w:val="center"/>
                  <w:rPr>
                    <w:rFonts w:ascii="Century Gothic" w:hAnsi="Century Gothic"/>
                    <w:bCs/>
                    <w:sz w:val="16"/>
                    <w:szCs w:val="16"/>
                  </w:rPr>
                </w:pPr>
              </w:p>
            </w:tc>
          </w:tr>
          <w:tr w:rsidR="002D4152" w14:paraId="197E9898" w14:textId="77777777" w:rsidTr="000A4A2D">
            <w:trPr>
              <w:trHeight w:val="283"/>
            </w:trPr>
            <w:tc>
              <w:tcPr>
                <w:tcW w:w="8243" w:type="dxa"/>
                <w:gridSpan w:val="2"/>
                <w:vAlign w:val="center"/>
              </w:tcPr>
              <w:p w14:paraId="1DB73BD2" w14:textId="0EC297C5" w:rsidR="002D4152" w:rsidRPr="00672E9B" w:rsidRDefault="002D415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Quality assurance agreement</w:t>
                </w:r>
              </w:p>
            </w:tc>
          </w:tr>
          <w:tr w:rsidR="002D4152" w14:paraId="20C0C5F0" w14:textId="77777777" w:rsidTr="000A4A2D">
            <w:trPr>
              <w:trHeight w:val="283"/>
            </w:trPr>
            <w:tc>
              <w:tcPr>
                <w:tcW w:w="8243" w:type="dxa"/>
                <w:gridSpan w:val="2"/>
                <w:vAlign w:val="center"/>
              </w:tcPr>
              <w:p w14:paraId="28B0C6A1" w14:textId="77EE4880" w:rsidR="002D4152" w:rsidRPr="00672E9B" w:rsidRDefault="002D4152" w:rsidP="008C1D72">
                <w:pPr>
                  <w:pStyle w:val="Kopfzeile"/>
                  <w:tabs>
                    <w:tab w:val="clear" w:pos="4536"/>
                    <w:tab w:val="left" w:pos="1586"/>
                    <w:tab w:val="left" w:pos="1634"/>
                    <w:tab w:val="left" w:pos="1926"/>
                  </w:tabs>
                  <w:rPr>
                    <w:rFonts w:ascii="Century Gothic" w:hAnsi="Century Gothic"/>
                    <w:sz w:val="18"/>
                    <w:szCs w:val="18"/>
                  </w:rPr>
                </w:pPr>
                <w:r>
                  <w:rPr>
                    <w:rFonts w:ascii="Century Gothic" w:hAnsi="Century Gothic"/>
                    <w:bCs/>
                    <w:sz w:val="18"/>
                    <w:szCs w:val="18"/>
                  </w:rPr>
                  <w:t>Scope</w:t>
                </w:r>
                <w:r w:rsidRPr="00313353">
                  <w:rPr>
                    <w:rFonts w:ascii="Century Gothic" w:hAnsi="Century Gothic"/>
                    <w:bCs/>
                    <w:sz w:val="18"/>
                    <w:szCs w:val="18"/>
                  </w:rPr>
                  <w:t xml:space="preserve">: </w:t>
                </w:r>
                <w:r>
                  <w:rPr>
                    <w:rFonts w:ascii="Century Gothic" w:hAnsi="Century Gothic"/>
                    <w:bCs/>
                    <w:sz w:val="18"/>
                    <w:szCs w:val="18"/>
                  </w:rPr>
                  <w:t>PUR</w:t>
                </w:r>
              </w:p>
            </w:tc>
          </w:tr>
          <w:tr w:rsidR="002D4152" w14:paraId="32DB982C" w14:textId="77777777" w:rsidTr="000A4A2D">
            <w:trPr>
              <w:trHeight w:val="283"/>
            </w:trPr>
            <w:tc>
              <w:tcPr>
                <w:tcW w:w="3439" w:type="dxa"/>
                <w:vAlign w:val="center"/>
              </w:tcPr>
              <w:p w14:paraId="1E764B8D" w14:textId="6577690E" w:rsidR="002D4152" w:rsidRPr="001B5B9D" w:rsidRDefault="002D4152" w:rsidP="008C1D72">
                <w:pPr>
                  <w:pStyle w:val="Kopfzeile"/>
                  <w:tabs>
                    <w:tab w:val="clear" w:pos="4536"/>
                    <w:tab w:val="left" w:pos="1586"/>
                    <w:tab w:val="left" w:pos="1634"/>
                    <w:tab w:val="left" w:pos="1926"/>
                  </w:tabs>
                  <w:rPr>
                    <w:rFonts w:ascii="Century Gothic" w:hAnsi="Century Gothic"/>
                    <w:bCs/>
                    <w:sz w:val="18"/>
                    <w:szCs w:val="18"/>
                  </w:rPr>
                </w:pPr>
                <w:r w:rsidRPr="001B5B9D">
                  <w:rPr>
                    <w:rFonts w:ascii="Century Gothic" w:hAnsi="Century Gothic"/>
                    <w:bCs/>
                    <w:sz w:val="18"/>
                    <w:szCs w:val="18"/>
                  </w:rPr>
                  <w:t>Revision 0</w:t>
                </w:r>
                <w:r w:rsidR="00E23F9B">
                  <w:rPr>
                    <w:rFonts w:ascii="Century Gothic" w:hAnsi="Century Gothic"/>
                    <w:bCs/>
                    <w:sz w:val="18"/>
                    <w:szCs w:val="18"/>
                  </w:rPr>
                  <w:t>2</w:t>
                </w:r>
                <w:r>
                  <w:rPr>
                    <w:rFonts w:ascii="Century Gothic" w:hAnsi="Century Gothic"/>
                    <w:bCs/>
                    <w:sz w:val="18"/>
                    <w:szCs w:val="18"/>
                  </w:rPr>
                  <w:t>/260</w:t>
                </w:r>
                <w:r w:rsidR="00E23F9B">
                  <w:rPr>
                    <w:rFonts w:ascii="Century Gothic" w:hAnsi="Century Gothic"/>
                    <w:bCs/>
                    <w:sz w:val="18"/>
                    <w:szCs w:val="18"/>
                  </w:rPr>
                  <w:t>5</w:t>
                </w:r>
              </w:p>
            </w:tc>
            <w:tc>
              <w:tcPr>
                <w:tcW w:w="4804" w:type="dxa"/>
                <w:vAlign w:val="center"/>
              </w:tcPr>
              <w:p w14:paraId="3B3D1F03" w14:textId="77777777" w:rsidR="002D4152" w:rsidRPr="001B5B9D" w:rsidRDefault="002D4152" w:rsidP="008C1D72">
                <w:pPr>
                  <w:pStyle w:val="Kopfzeile"/>
                  <w:tabs>
                    <w:tab w:val="clear" w:pos="4536"/>
                    <w:tab w:val="left" w:pos="1586"/>
                    <w:tab w:val="left" w:pos="1634"/>
                    <w:tab w:val="left" w:pos="1926"/>
                  </w:tabs>
                  <w:rPr>
                    <w:rFonts w:ascii="Century Gothic" w:hAnsi="Century Gothic"/>
                    <w:bCs/>
                    <w:sz w:val="18"/>
                    <w:szCs w:val="18"/>
                  </w:rPr>
                </w:pPr>
              </w:p>
            </w:tc>
          </w:tr>
        </w:tbl>
        <w:p w14:paraId="2D69A0E9" w14:textId="77777777" w:rsidR="002D4152" w:rsidRPr="00570742" w:rsidRDefault="002D4152" w:rsidP="008C1D72">
          <w:pPr>
            <w:pStyle w:val="Kopfzeile"/>
            <w:tabs>
              <w:tab w:val="clear" w:pos="4536"/>
              <w:tab w:val="left" w:pos="1586"/>
              <w:tab w:val="left" w:pos="1634"/>
              <w:tab w:val="left" w:pos="1926"/>
            </w:tabs>
            <w:rPr>
              <w:rFonts w:ascii="Century Gothic" w:hAnsi="Century Gothic"/>
              <w:bCs/>
              <w:sz w:val="4"/>
              <w:szCs w:val="4"/>
            </w:rPr>
          </w:pPr>
        </w:p>
      </w:tc>
      <w:tc>
        <w:tcPr>
          <w:tcW w:w="2041" w:type="dxa"/>
          <w:vAlign w:val="center"/>
        </w:tcPr>
        <w:p w14:paraId="484EC4B7" w14:textId="77777777" w:rsidR="002D4152" w:rsidRPr="00F96D73" w:rsidRDefault="002D4152" w:rsidP="008C1D72">
          <w:pPr>
            <w:pStyle w:val="Kopfzeile"/>
            <w:jc w:val="center"/>
            <w:rPr>
              <w:color w:val="467886" w:themeColor="hyperlink"/>
              <w:sz w:val="10"/>
              <w:szCs w:val="10"/>
              <w:u w:val="single"/>
              <w:lang w:val="de-DE"/>
            </w:rPr>
          </w:pPr>
          <w:r>
            <w:rPr>
              <w:noProof/>
            </w:rPr>
            <w:drawing>
              <wp:anchor distT="0" distB="0" distL="114300" distR="114300" simplePos="0" relativeHeight="251660288" behindDoc="0" locked="0" layoutInCell="1" allowOverlap="1" wp14:anchorId="7F39D6DD" wp14:editId="68F4C82E">
                <wp:simplePos x="0" y="0"/>
                <wp:positionH relativeFrom="column">
                  <wp:posOffset>24130</wp:posOffset>
                </wp:positionH>
                <wp:positionV relativeFrom="paragraph">
                  <wp:posOffset>46355</wp:posOffset>
                </wp:positionV>
                <wp:extent cx="1122680" cy="438785"/>
                <wp:effectExtent l="0" t="0" r="0" b="0"/>
                <wp:wrapThrough wrapText="bothSides">
                  <wp:wrapPolygon edited="0">
                    <wp:start x="733" y="938"/>
                    <wp:lineTo x="733" y="19693"/>
                    <wp:lineTo x="20525" y="19693"/>
                    <wp:lineTo x="20525" y="938"/>
                    <wp:lineTo x="733" y="938"/>
                  </wp:wrapPolygon>
                </wp:wrapThrough>
                <wp:docPr id="650370355" name="Grafik 1" descr="Ein Bild, das Schrift, Grafiken,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52124" name="Grafik 1" descr="Ein Bild, das Schrift, Grafiken, Logo,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D4152" w:rsidRPr="002921CB" w14:paraId="59C6077A" w14:textId="77777777" w:rsidTr="00570742">
      <w:trPr>
        <w:trHeight w:hRule="exact" w:val="422"/>
      </w:trPr>
      <w:tc>
        <w:tcPr>
          <w:tcW w:w="8391" w:type="dxa"/>
          <w:vMerge/>
          <w:vAlign w:val="center"/>
        </w:tcPr>
        <w:p w14:paraId="1A5A1C98" w14:textId="77777777" w:rsidR="002D4152" w:rsidRDefault="002D4152" w:rsidP="008C1D72">
          <w:pPr>
            <w:pStyle w:val="Kopfzeile"/>
            <w:jc w:val="center"/>
            <w:rPr>
              <w:b/>
              <w:sz w:val="28"/>
              <w:szCs w:val="28"/>
            </w:rPr>
          </w:pPr>
        </w:p>
      </w:tc>
      <w:tc>
        <w:tcPr>
          <w:tcW w:w="2041" w:type="dxa"/>
          <w:vAlign w:val="bottom"/>
        </w:tcPr>
        <w:p w14:paraId="0E07BC0D" w14:textId="77777777" w:rsidR="002D4152" w:rsidRDefault="002D4152" w:rsidP="00270A60">
          <w:pPr>
            <w:pStyle w:val="Kopfzeile"/>
            <w:ind w:right="-107"/>
            <w:jc w:val="center"/>
            <w:rPr>
              <w:noProof/>
              <w:lang w:eastAsia="de-AT"/>
            </w:rPr>
          </w:pPr>
        </w:p>
      </w:tc>
    </w:tr>
  </w:tbl>
  <w:p w14:paraId="1D19BB79" w14:textId="77777777" w:rsidR="002D4152" w:rsidRDefault="002D41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CDF"/>
    <w:multiLevelType w:val="multilevel"/>
    <w:tmpl w:val="257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1E48"/>
    <w:multiLevelType w:val="multilevel"/>
    <w:tmpl w:val="8D382DE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9B502EF"/>
    <w:multiLevelType w:val="multilevel"/>
    <w:tmpl w:val="92A2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72D9E"/>
    <w:multiLevelType w:val="multilevel"/>
    <w:tmpl w:val="9F6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E45B8"/>
    <w:multiLevelType w:val="multilevel"/>
    <w:tmpl w:val="CF6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E40AB"/>
    <w:multiLevelType w:val="multilevel"/>
    <w:tmpl w:val="6874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30E2"/>
    <w:multiLevelType w:val="hybridMultilevel"/>
    <w:tmpl w:val="0562D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AD5B25"/>
    <w:multiLevelType w:val="multilevel"/>
    <w:tmpl w:val="E0E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71671"/>
    <w:multiLevelType w:val="multilevel"/>
    <w:tmpl w:val="3EC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D7EB2"/>
    <w:multiLevelType w:val="multilevel"/>
    <w:tmpl w:val="9D1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A261E"/>
    <w:multiLevelType w:val="multilevel"/>
    <w:tmpl w:val="F1D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B5668"/>
    <w:multiLevelType w:val="multilevel"/>
    <w:tmpl w:val="58FE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D306C"/>
    <w:multiLevelType w:val="multilevel"/>
    <w:tmpl w:val="9C5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C118C"/>
    <w:multiLevelType w:val="hybridMultilevel"/>
    <w:tmpl w:val="089CB450"/>
    <w:lvl w:ilvl="0" w:tplc="E562753E">
      <w:start w:val="1"/>
      <w:numFmt w:val="decimal"/>
      <w:pStyle w:val="AufzhlungAngebot"/>
      <w:lvlText w:val="%1."/>
      <w:lvlJc w:val="left"/>
      <w:pPr>
        <w:ind w:left="360" w:hanging="360"/>
      </w:pPr>
      <w:rPr>
        <w:color w:val="auto"/>
        <w:sz w:val="24"/>
        <w:szCs w:val="24"/>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0C1282B"/>
    <w:multiLevelType w:val="multilevel"/>
    <w:tmpl w:val="83B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57547"/>
    <w:multiLevelType w:val="multilevel"/>
    <w:tmpl w:val="C63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1BC4"/>
    <w:multiLevelType w:val="multilevel"/>
    <w:tmpl w:val="C6B6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25996"/>
    <w:multiLevelType w:val="multilevel"/>
    <w:tmpl w:val="39C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048857">
    <w:abstractNumId w:val="1"/>
  </w:num>
  <w:num w:numId="2" w16cid:durableId="1575436655">
    <w:abstractNumId w:val="13"/>
  </w:num>
  <w:num w:numId="3" w16cid:durableId="1879976163">
    <w:abstractNumId w:val="9"/>
  </w:num>
  <w:num w:numId="4" w16cid:durableId="505634218">
    <w:abstractNumId w:val="3"/>
  </w:num>
  <w:num w:numId="5" w16cid:durableId="1521625218">
    <w:abstractNumId w:val="4"/>
  </w:num>
  <w:num w:numId="6" w16cid:durableId="399714543">
    <w:abstractNumId w:val="6"/>
  </w:num>
  <w:num w:numId="7" w16cid:durableId="509872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191335">
    <w:abstractNumId w:val="0"/>
  </w:num>
  <w:num w:numId="9" w16cid:durableId="797840459">
    <w:abstractNumId w:val="16"/>
  </w:num>
  <w:num w:numId="10" w16cid:durableId="646278485">
    <w:abstractNumId w:val="10"/>
  </w:num>
  <w:num w:numId="11" w16cid:durableId="199823101">
    <w:abstractNumId w:val="8"/>
  </w:num>
  <w:num w:numId="12" w16cid:durableId="665136364">
    <w:abstractNumId w:val="14"/>
  </w:num>
  <w:num w:numId="13" w16cid:durableId="200167707">
    <w:abstractNumId w:val="17"/>
  </w:num>
  <w:num w:numId="14" w16cid:durableId="1409225291">
    <w:abstractNumId w:val="7"/>
  </w:num>
  <w:num w:numId="15" w16cid:durableId="1981379643">
    <w:abstractNumId w:val="15"/>
  </w:num>
  <w:num w:numId="16" w16cid:durableId="1884049857">
    <w:abstractNumId w:val="11"/>
  </w:num>
  <w:num w:numId="17" w16cid:durableId="292105436">
    <w:abstractNumId w:val="5"/>
  </w:num>
  <w:num w:numId="18" w16cid:durableId="1803575885">
    <w:abstractNumId w:val="2"/>
  </w:num>
  <w:num w:numId="19" w16cid:durableId="17908519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YdBjMu1o7oUOvgnCkGOwSARCrTZ5tYnAssbJR3owuL5fyYDH8pIN1lJ2wuOEKPFIbgyHyM74wdt13dpdFAKcw==" w:salt="ofyJQnXaVbXBiTZDJuEXc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72"/>
    <w:rsid w:val="000107C6"/>
    <w:rsid w:val="00014C0C"/>
    <w:rsid w:val="00020A27"/>
    <w:rsid w:val="00022750"/>
    <w:rsid w:val="00023897"/>
    <w:rsid w:val="00030B0F"/>
    <w:rsid w:val="00030F55"/>
    <w:rsid w:val="00032CEF"/>
    <w:rsid w:val="000346A0"/>
    <w:rsid w:val="000418B5"/>
    <w:rsid w:val="00050B4D"/>
    <w:rsid w:val="0005735D"/>
    <w:rsid w:val="00081A3D"/>
    <w:rsid w:val="0008668B"/>
    <w:rsid w:val="000A0A36"/>
    <w:rsid w:val="000A4A2D"/>
    <w:rsid w:val="000A6E6A"/>
    <w:rsid w:val="000B1D2A"/>
    <w:rsid w:val="000C06A4"/>
    <w:rsid w:val="000C5FC7"/>
    <w:rsid w:val="000D61BA"/>
    <w:rsid w:val="000E1490"/>
    <w:rsid w:val="000E2EB1"/>
    <w:rsid w:val="000E38D9"/>
    <w:rsid w:val="000E5F19"/>
    <w:rsid w:val="000F3E5B"/>
    <w:rsid w:val="0010300F"/>
    <w:rsid w:val="00110095"/>
    <w:rsid w:val="00131E41"/>
    <w:rsid w:val="001562A5"/>
    <w:rsid w:val="00156FB6"/>
    <w:rsid w:val="001749BB"/>
    <w:rsid w:val="001B5B9D"/>
    <w:rsid w:val="001C190A"/>
    <w:rsid w:val="001C3D7B"/>
    <w:rsid w:val="001C6B76"/>
    <w:rsid w:val="001D704B"/>
    <w:rsid w:val="001E1C7C"/>
    <w:rsid w:val="001F0731"/>
    <w:rsid w:val="001F3C9E"/>
    <w:rsid w:val="001F73D7"/>
    <w:rsid w:val="00204F0D"/>
    <w:rsid w:val="002071CE"/>
    <w:rsid w:val="00221826"/>
    <w:rsid w:val="00222C47"/>
    <w:rsid w:val="002258C6"/>
    <w:rsid w:val="00226F4A"/>
    <w:rsid w:val="00253C41"/>
    <w:rsid w:val="00260CC8"/>
    <w:rsid w:val="0026751A"/>
    <w:rsid w:val="00270A60"/>
    <w:rsid w:val="00272B79"/>
    <w:rsid w:val="00275D22"/>
    <w:rsid w:val="002809B2"/>
    <w:rsid w:val="00282297"/>
    <w:rsid w:val="00286AA5"/>
    <w:rsid w:val="002A1047"/>
    <w:rsid w:val="002B6564"/>
    <w:rsid w:val="002C3CA0"/>
    <w:rsid w:val="002C533A"/>
    <w:rsid w:val="002D3071"/>
    <w:rsid w:val="002D4152"/>
    <w:rsid w:val="002F072C"/>
    <w:rsid w:val="002F7A20"/>
    <w:rsid w:val="00300F4C"/>
    <w:rsid w:val="00301269"/>
    <w:rsid w:val="003068B4"/>
    <w:rsid w:val="00313353"/>
    <w:rsid w:val="00331F11"/>
    <w:rsid w:val="00335BE8"/>
    <w:rsid w:val="00351D9B"/>
    <w:rsid w:val="00375355"/>
    <w:rsid w:val="003918E6"/>
    <w:rsid w:val="003A34B9"/>
    <w:rsid w:val="003B3592"/>
    <w:rsid w:val="003C6304"/>
    <w:rsid w:val="003C700C"/>
    <w:rsid w:val="003D6AE6"/>
    <w:rsid w:val="003D753C"/>
    <w:rsid w:val="003D7F86"/>
    <w:rsid w:val="003E0F15"/>
    <w:rsid w:val="003F34AA"/>
    <w:rsid w:val="003F373E"/>
    <w:rsid w:val="003F6286"/>
    <w:rsid w:val="004130F1"/>
    <w:rsid w:val="00415089"/>
    <w:rsid w:val="004212A7"/>
    <w:rsid w:val="00440DB8"/>
    <w:rsid w:val="00442CD7"/>
    <w:rsid w:val="004502CE"/>
    <w:rsid w:val="00450D55"/>
    <w:rsid w:val="00453F62"/>
    <w:rsid w:val="00463664"/>
    <w:rsid w:val="00463E2D"/>
    <w:rsid w:val="00476F85"/>
    <w:rsid w:val="004A5062"/>
    <w:rsid w:val="004A6423"/>
    <w:rsid w:val="004B0BA5"/>
    <w:rsid w:val="004C6AA1"/>
    <w:rsid w:val="004D1A49"/>
    <w:rsid w:val="004D1E9C"/>
    <w:rsid w:val="004F6AC0"/>
    <w:rsid w:val="00500A0B"/>
    <w:rsid w:val="00550F1D"/>
    <w:rsid w:val="00562A2A"/>
    <w:rsid w:val="00570742"/>
    <w:rsid w:val="00570BF1"/>
    <w:rsid w:val="00571556"/>
    <w:rsid w:val="00573910"/>
    <w:rsid w:val="00594226"/>
    <w:rsid w:val="00595305"/>
    <w:rsid w:val="005A2A51"/>
    <w:rsid w:val="005A6EE6"/>
    <w:rsid w:val="005A7844"/>
    <w:rsid w:val="005B010F"/>
    <w:rsid w:val="005B4B7A"/>
    <w:rsid w:val="005C4C64"/>
    <w:rsid w:val="005D0F84"/>
    <w:rsid w:val="005D4C87"/>
    <w:rsid w:val="005D75BC"/>
    <w:rsid w:val="005E0714"/>
    <w:rsid w:val="005E0949"/>
    <w:rsid w:val="005F10A8"/>
    <w:rsid w:val="00600D5F"/>
    <w:rsid w:val="00601AC9"/>
    <w:rsid w:val="0061093D"/>
    <w:rsid w:val="00610C2E"/>
    <w:rsid w:val="00616B83"/>
    <w:rsid w:val="00617434"/>
    <w:rsid w:val="00630194"/>
    <w:rsid w:val="00630CEA"/>
    <w:rsid w:val="00631F82"/>
    <w:rsid w:val="00633B19"/>
    <w:rsid w:val="00636F82"/>
    <w:rsid w:val="00641ADE"/>
    <w:rsid w:val="00644758"/>
    <w:rsid w:val="00646F60"/>
    <w:rsid w:val="00650B20"/>
    <w:rsid w:val="006510DB"/>
    <w:rsid w:val="00655E08"/>
    <w:rsid w:val="00657CB7"/>
    <w:rsid w:val="00660305"/>
    <w:rsid w:val="0066087E"/>
    <w:rsid w:val="00662B7A"/>
    <w:rsid w:val="0066512F"/>
    <w:rsid w:val="00666AEB"/>
    <w:rsid w:val="00682ADA"/>
    <w:rsid w:val="0068333A"/>
    <w:rsid w:val="006901BD"/>
    <w:rsid w:val="006936E9"/>
    <w:rsid w:val="006B1B52"/>
    <w:rsid w:val="006B258B"/>
    <w:rsid w:val="006B40C2"/>
    <w:rsid w:val="006C4DFB"/>
    <w:rsid w:val="006C5A50"/>
    <w:rsid w:val="006C6697"/>
    <w:rsid w:val="006D09C8"/>
    <w:rsid w:val="006E01C9"/>
    <w:rsid w:val="0070577E"/>
    <w:rsid w:val="00710C32"/>
    <w:rsid w:val="0071153D"/>
    <w:rsid w:val="00714F4D"/>
    <w:rsid w:val="0072797E"/>
    <w:rsid w:val="0073162F"/>
    <w:rsid w:val="00741061"/>
    <w:rsid w:val="00741309"/>
    <w:rsid w:val="00742E0A"/>
    <w:rsid w:val="00744AFC"/>
    <w:rsid w:val="00754902"/>
    <w:rsid w:val="00760A5B"/>
    <w:rsid w:val="0077168F"/>
    <w:rsid w:val="00776BA6"/>
    <w:rsid w:val="0077777F"/>
    <w:rsid w:val="007902A0"/>
    <w:rsid w:val="00794A29"/>
    <w:rsid w:val="00797A2D"/>
    <w:rsid w:val="007A1E18"/>
    <w:rsid w:val="007A5864"/>
    <w:rsid w:val="007C54E3"/>
    <w:rsid w:val="007D1948"/>
    <w:rsid w:val="007E5A80"/>
    <w:rsid w:val="007E6672"/>
    <w:rsid w:val="007F2729"/>
    <w:rsid w:val="007F34B3"/>
    <w:rsid w:val="008015C4"/>
    <w:rsid w:val="008039A4"/>
    <w:rsid w:val="00825241"/>
    <w:rsid w:val="00827C68"/>
    <w:rsid w:val="00835A28"/>
    <w:rsid w:val="00840054"/>
    <w:rsid w:val="0084736C"/>
    <w:rsid w:val="00857528"/>
    <w:rsid w:val="00862825"/>
    <w:rsid w:val="00873715"/>
    <w:rsid w:val="0088014C"/>
    <w:rsid w:val="00883CD4"/>
    <w:rsid w:val="00891726"/>
    <w:rsid w:val="008A580B"/>
    <w:rsid w:val="008A5C66"/>
    <w:rsid w:val="008A7530"/>
    <w:rsid w:val="008B1A2B"/>
    <w:rsid w:val="008B42CF"/>
    <w:rsid w:val="008B462D"/>
    <w:rsid w:val="008C0C51"/>
    <w:rsid w:val="008C1D72"/>
    <w:rsid w:val="008D6CF7"/>
    <w:rsid w:val="008E1574"/>
    <w:rsid w:val="008E3761"/>
    <w:rsid w:val="008F640B"/>
    <w:rsid w:val="00901405"/>
    <w:rsid w:val="00906AC7"/>
    <w:rsid w:val="009147CB"/>
    <w:rsid w:val="0092458C"/>
    <w:rsid w:val="00930DE7"/>
    <w:rsid w:val="00934A60"/>
    <w:rsid w:val="009367CC"/>
    <w:rsid w:val="009412D2"/>
    <w:rsid w:val="00944848"/>
    <w:rsid w:val="009454FC"/>
    <w:rsid w:val="00952123"/>
    <w:rsid w:val="00960409"/>
    <w:rsid w:val="00987A6F"/>
    <w:rsid w:val="009934F9"/>
    <w:rsid w:val="0099594F"/>
    <w:rsid w:val="009A341B"/>
    <w:rsid w:val="009D07EE"/>
    <w:rsid w:val="009F5263"/>
    <w:rsid w:val="00A04595"/>
    <w:rsid w:val="00A061FF"/>
    <w:rsid w:val="00A107FA"/>
    <w:rsid w:val="00A133F4"/>
    <w:rsid w:val="00A214DD"/>
    <w:rsid w:val="00A352D3"/>
    <w:rsid w:val="00A66A52"/>
    <w:rsid w:val="00A72593"/>
    <w:rsid w:val="00A72B74"/>
    <w:rsid w:val="00A837F2"/>
    <w:rsid w:val="00A85ACF"/>
    <w:rsid w:val="00A87361"/>
    <w:rsid w:val="00A97B57"/>
    <w:rsid w:val="00AA4186"/>
    <w:rsid w:val="00AA7F78"/>
    <w:rsid w:val="00AB0B73"/>
    <w:rsid w:val="00AB3273"/>
    <w:rsid w:val="00AB7660"/>
    <w:rsid w:val="00AC0214"/>
    <w:rsid w:val="00AC4750"/>
    <w:rsid w:val="00AC7ACC"/>
    <w:rsid w:val="00AE653A"/>
    <w:rsid w:val="00AF072A"/>
    <w:rsid w:val="00B01B88"/>
    <w:rsid w:val="00B03634"/>
    <w:rsid w:val="00B07B52"/>
    <w:rsid w:val="00B1072C"/>
    <w:rsid w:val="00B116F5"/>
    <w:rsid w:val="00B20280"/>
    <w:rsid w:val="00B21164"/>
    <w:rsid w:val="00B30A9F"/>
    <w:rsid w:val="00B44B7C"/>
    <w:rsid w:val="00B559AF"/>
    <w:rsid w:val="00B87902"/>
    <w:rsid w:val="00B96EAF"/>
    <w:rsid w:val="00BA5372"/>
    <w:rsid w:val="00BB460F"/>
    <w:rsid w:val="00BC6518"/>
    <w:rsid w:val="00BE2867"/>
    <w:rsid w:val="00BE32EF"/>
    <w:rsid w:val="00C11CFD"/>
    <w:rsid w:val="00C13EBE"/>
    <w:rsid w:val="00C2723A"/>
    <w:rsid w:val="00C278DD"/>
    <w:rsid w:val="00C35C40"/>
    <w:rsid w:val="00C37710"/>
    <w:rsid w:val="00C40FD8"/>
    <w:rsid w:val="00C4120C"/>
    <w:rsid w:val="00C433C1"/>
    <w:rsid w:val="00C4700E"/>
    <w:rsid w:val="00C476E4"/>
    <w:rsid w:val="00C53C39"/>
    <w:rsid w:val="00C5718A"/>
    <w:rsid w:val="00C65065"/>
    <w:rsid w:val="00C65A72"/>
    <w:rsid w:val="00C73E25"/>
    <w:rsid w:val="00C83A1C"/>
    <w:rsid w:val="00C8555E"/>
    <w:rsid w:val="00C92B6A"/>
    <w:rsid w:val="00C965B3"/>
    <w:rsid w:val="00CA2783"/>
    <w:rsid w:val="00CB3DB0"/>
    <w:rsid w:val="00CB4E84"/>
    <w:rsid w:val="00CB4F9B"/>
    <w:rsid w:val="00CB4FD8"/>
    <w:rsid w:val="00CD2A37"/>
    <w:rsid w:val="00CD55EC"/>
    <w:rsid w:val="00CD578E"/>
    <w:rsid w:val="00CE65E9"/>
    <w:rsid w:val="00D11E13"/>
    <w:rsid w:val="00D12339"/>
    <w:rsid w:val="00D136A5"/>
    <w:rsid w:val="00D1470C"/>
    <w:rsid w:val="00D20FEF"/>
    <w:rsid w:val="00D27848"/>
    <w:rsid w:val="00D40EA6"/>
    <w:rsid w:val="00D51008"/>
    <w:rsid w:val="00D5775A"/>
    <w:rsid w:val="00D61157"/>
    <w:rsid w:val="00D65ADB"/>
    <w:rsid w:val="00D816C5"/>
    <w:rsid w:val="00D84C6E"/>
    <w:rsid w:val="00D87CE7"/>
    <w:rsid w:val="00D910C2"/>
    <w:rsid w:val="00DB10B9"/>
    <w:rsid w:val="00DB55F9"/>
    <w:rsid w:val="00DB59C3"/>
    <w:rsid w:val="00DB61EC"/>
    <w:rsid w:val="00DD19DB"/>
    <w:rsid w:val="00DD292E"/>
    <w:rsid w:val="00DD69A0"/>
    <w:rsid w:val="00DD6F35"/>
    <w:rsid w:val="00DD7327"/>
    <w:rsid w:val="00DE61E2"/>
    <w:rsid w:val="00DF53AC"/>
    <w:rsid w:val="00E07BC3"/>
    <w:rsid w:val="00E10F9D"/>
    <w:rsid w:val="00E2359A"/>
    <w:rsid w:val="00E23716"/>
    <w:rsid w:val="00E23F56"/>
    <w:rsid w:val="00E23F9B"/>
    <w:rsid w:val="00E31089"/>
    <w:rsid w:val="00E450AB"/>
    <w:rsid w:val="00E5226D"/>
    <w:rsid w:val="00E5711D"/>
    <w:rsid w:val="00E571CD"/>
    <w:rsid w:val="00E6383F"/>
    <w:rsid w:val="00E762B6"/>
    <w:rsid w:val="00E80A37"/>
    <w:rsid w:val="00E81E4F"/>
    <w:rsid w:val="00E8276C"/>
    <w:rsid w:val="00E87BB0"/>
    <w:rsid w:val="00E947FB"/>
    <w:rsid w:val="00EA1420"/>
    <w:rsid w:val="00EA350B"/>
    <w:rsid w:val="00EB3259"/>
    <w:rsid w:val="00EF3A6B"/>
    <w:rsid w:val="00F0310B"/>
    <w:rsid w:val="00F03DD7"/>
    <w:rsid w:val="00F07441"/>
    <w:rsid w:val="00F1527E"/>
    <w:rsid w:val="00F20412"/>
    <w:rsid w:val="00F23141"/>
    <w:rsid w:val="00F24B6A"/>
    <w:rsid w:val="00F2528F"/>
    <w:rsid w:val="00F26D73"/>
    <w:rsid w:val="00F33151"/>
    <w:rsid w:val="00F336A9"/>
    <w:rsid w:val="00F34252"/>
    <w:rsid w:val="00F40CCD"/>
    <w:rsid w:val="00F41C5A"/>
    <w:rsid w:val="00F43462"/>
    <w:rsid w:val="00F65062"/>
    <w:rsid w:val="00F72558"/>
    <w:rsid w:val="00F76021"/>
    <w:rsid w:val="00F92D69"/>
    <w:rsid w:val="00F94F59"/>
    <w:rsid w:val="00F97602"/>
    <w:rsid w:val="00FA1FAC"/>
    <w:rsid w:val="00FA45B8"/>
    <w:rsid w:val="00FA720B"/>
    <w:rsid w:val="00FB7EA3"/>
    <w:rsid w:val="00FC4713"/>
    <w:rsid w:val="00FC5D87"/>
    <w:rsid w:val="00FC5EA7"/>
    <w:rsid w:val="00FD18C7"/>
    <w:rsid w:val="00FD347B"/>
    <w:rsid w:val="00FE7ABD"/>
    <w:rsid w:val="00FF6D79"/>
    <w:rsid w:val="01E6F4E5"/>
    <w:rsid w:val="03D5EB14"/>
    <w:rsid w:val="04B8F03A"/>
    <w:rsid w:val="0896C93F"/>
    <w:rsid w:val="0A5FACF1"/>
    <w:rsid w:val="0B97A203"/>
    <w:rsid w:val="0C7859ED"/>
    <w:rsid w:val="107CCE3D"/>
    <w:rsid w:val="11F2CB9C"/>
    <w:rsid w:val="145F7A4C"/>
    <w:rsid w:val="1B5EF328"/>
    <w:rsid w:val="1D994B99"/>
    <w:rsid w:val="291A534F"/>
    <w:rsid w:val="2B651B81"/>
    <w:rsid w:val="3078C4BC"/>
    <w:rsid w:val="3B91E64D"/>
    <w:rsid w:val="3C4845CE"/>
    <w:rsid w:val="4077AB1E"/>
    <w:rsid w:val="40D0A8B5"/>
    <w:rsid w:val="437FA2E0"/>
    <w:rsid w:val="45B2C26C"/>
    <w:rsid w:val="4788C698"/>
    <w:rsid w:val="4C2CF4E9"/>
    <w:rsid w:val="4F018385"/>
    <w:rsid w:val="4F92626F"/>
    <w:rsid w:val="52EEAA96"/>
    <w:rsid w:val="5AACD3E7"/>
    <w:rsid w:val="61EB3141"/>
    <w:rsid w:val="62FE83B9"/>
    <w:rsid w:val="64CAD119"/>
    <w:rsid w:val="6CDA1495"/>
    <w:rsid w:val="701E4F77"/>
    <w:rsid w:val="757F9DB5"/>
    <w:rsid w:val="76A70D4B"/>
    <w:rsid w:val="78A7BE1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457F0"/>
  <w15:chartTrackingRefBased/>
  <w15:docId w15:val="{5DAF4010-9B96-4DCC-B7A2-D44A99ED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34F9"/>
    <w:pPr>
      <w:jc w:val="both"/>
    </w:pPr>
    <w:rPr>
      <w:kern w:val="0"/>
      <w:sz w:val="20"/>
      <w:szCs w:val="22"/>
      <w:lang w:val="de-AT"/>
      <w14:ligatures w14:val="none"/>
    </w:rPr>
  </w:style>
  <w:style w:type="paragraph" w:styleId="berschrift1">
    <w:name w:val="heading 1"/>
    <w:basedOn w:val="Standard"/>
    <w:next w:val="Standard"/>
    <w:link w:val="berschrift1Zchn"/>
    <w:uiPriority w:val="9"/>
    <w:qFormat/>
    <w:rsid w:val="00595305"/>
    <w:pPr>
      <w:keepNext/>
      <w:keepLines/>
      <w:numPr>
        <w:numId w:val="1"/>
      </w:numPr>
      <w:spacing w:before="120" w:after="80"/>
      <w:outlineLvl w:val="0"/>
    </w:pPr>
    <w:rPr>
      <w:rFonts w:eastAsiaTheme="majorEastAsia" w:cstheme="majorBidi"/>
      <w:b/>
      <w:kern w:val="2"/>
      <w:sz w:val="24"/>
      <w:szCs w:val="40"/>
      <w:lang w:val="de-DE"/>
      <w14:ligatures w14:val="standardContextual"/>
    </w:rPr>
  </w:style>
  <w:style w:type="paragraph" w:styleId="berschrift2">
    <w:name w:val="heading 2"/>
    <w:basedOn w:val="berschrift1"/>
    <w:next w:val="Standard"/>
    <w:link w:val="berschrift2Zchn"/>
    <w:autoRedefine/>
    <w:uiPriority w:val="9"/>
    <w:unhideWhenUsed/>
    <w:qFormat/>
    <w:rsid w:val="00595305"/>
    <w:pPr>
      <w:numPr>
        <w:ilvl w:val="1"/>
      </w:numPr>
      <w:outlineLvl w:val="1"/>
    </w:pPr>
    <w:rPr>
      <w:szCs w:val="32"/>
    </w:rPr>
  </w:style>
  <w:style w:type="paragraph" w:styleId="berschrift3">
    <w:name w:val="heading 3"/>
    <w:basedOn w:val="Standard"/>
    <w:next w:val="Standard"/>
    <w:link w:val="berschrift3Zchn"/>
    <w:uiPriority w:val="9"/>
    <w:unhideWhenUsed/>
    <w:qFormat/>
    <w:rsid w:val="00EA1420"/>
    <w:pPr>
      <w:keepNext/>
      <w:keepLines/>
      <w:numPr>
        <w:ilvl w:val="2"/>
        <w:numId w:val="1"/>
      </w:numPr>
      <w:spacing w:before="160" w:after="80"/>
      <w:ind w:left="1428"/>
      <w:outlineLvl w:val="2"/>
    </w:pPr>
    <w:rPr>
      <w:rFonts w:eastAsiaTheme="majorEastAsia" w:cstheme="majorBidi"/>
      <w:kern w:val="2"/>
      <w:sz w:val="22"/>
      <w:szCs w:val="28"/>
      <w:u w:val="single"/>
      <w:lang w:val="de-DE"/>
      <w14:ligatures w14:val="standardContextual"/>
    </w:rPr>
  </w:style>
  <w:style w:type="paragraph" w:styleId="berschrift4">
    <w:name w:val="heading 4"/>
    <w:basedOn w:val="Standard"/>
    <w:next w:val="Standard"/>
    <w:link w:val="berschrift4Zchn"/>
    <w:uiPriority w:val="9"/>
    <w:unhideWhenUsed/>
    <w:rsid w:val="008C1D72"/>
    <w:pPr>
      <w:keepNext/>
      <w:keepLines/>
      <w:numPr>
        <w:ilvl w:val="3"/>
        <w:numId w:val="1"/>
      </w:numPr>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unhideWhenUsed/>
    <w:rsid w:val="008C1D72"/>
    <w:pPr>
      <w:keepNext/>
      <w:keepLines/>
      <w:numPr>
        <w:ilvl w:val="4"/>
        <w:numId w:val="1"/>
      </w:numPr>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unhideWhenUsed/>
    <w:rsid w:val="008C1D72"/>
    <w:pPr>
      <w:keepNext/>
      <w:keepLines/>
      <w:numPr>
        <w:ilvl w:val="5"/>
        <w:numId w:val="1"/>
      </w:numPr>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rsid w:val="008C1D72"/>
    <w:pPr>
      <w:keepNext/>
      <w:keepLines/>
      <w:numPr>
        <w:ilvl w:val="6"/>
        <w:numId w:val="1"/>
      </w:numPr>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C1D72"/>
    <w:pPr>
      <w:keepNext/>
      <w:keepLines/>
      <w:numPr>
        <w:ilvl w:val="7"/>
        <w:numId w:val="1"/>
      </w:numPr>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1D72"/>
    <w:pPr>
      <w:keepNext/>
      <w:keepLines/>
      <w:numPr>
        <w:ilvl w:val="8"/>
        <w:numId w:val="1"/>
      </w:numPr>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5305"/>
    <w:rPr>
      <w:rFonts w:eastAsiaTheme="majorEastAsia" w:cstheme="majorBidi"/>
      <w:b/>
      <w:szCs w:val="40"/>
    </w:rPr>
  </w:style>
  <w:style w:type="character" w:customStyle="1" w:styleId="berschrift2Zchn">
    <w:name w:val="Überschrift 2 Zchn"/>
    <w:basedOn w:val="Absatz-Standardschriftart"/>
    <w:link w:val="berschrift2"/>
    <w:uiPriority w:val="9"/>
    <w:rsid w:val="00595305"/>
    <w:rPr>
      <w:rFonts w:eastAsiaTheme="majorEastAsia" w:cstheme="majorBidi"/>
      <w:b/>
      <w:szCs w:val="32"/>
    </w:rPr>
  </w:style>
  <w:style w:type="character" w:customStyle="1" w:styleId="berschrift3Zchn">
    <w:name w:val="Überschrift 3 Zchn"/>
    <w:basedOn w:val="Absatz-Standardschriftart"/>
    <w:link w:val="berschrift3"/>
    <w:uiPriority w:val="9"/>
    <w:rsid w:val="00EA1420"/>
    <w:rPr>
      <w:rFonts w:eastAsiaTheme="majorEastAsia" w:cstheme="majorBidi"/>
      <w:sz w:val="22"/>
      <w:szCs w:val="28"/>
      <w:u w:val="single"/>
    </w:rPr>
  </w:style>
  <w:style w:type="character" w:customStyle="1" w:styleId="berschrift4Zchn">
    <w:name w:val="Überschrift 4 Zchn"/>
    <w:basedOn w:val="Absatz-Standardschriftart"/>
    <w:link w:val="berschrift4"/>
    <w:uiPriority w:val="9"/>
    <w:rsid w:val="008C1D72"/>
    <w:rPr>
      <w:rFonts w:asciiTheme="minorHAnsi" w:eastAsiaTheme="majorEastAsia" w:hAnsiTheme="minorHAnsi" w:cstheme="majorBidi"/>
      <w:i/>
      <w:iCs/>
      <w:color w:val="0F4761" w:themeColor="accent1" w:themeShade="BF"/>
      <w:kern w:val="0"/>
      <w:sz w:val="20"/>
      <w:szCs w:val="22"/>
      <w:lang w:val="de-AT"/>
      <w14:ligatures w14:val="none"/>
    </w:rPr>
  </w:style>
  <w:style w:type="character" w:customStyle="1" w:styleId="berschrift5Zchn">
    <w:name w:val="Überschrift 5 Zchn"/>
    <w:basedOn w:val="Absatz-Standardschriftart"/>
    <w:link w:val="berschrift5"/>
    <w:uiPriority w:val="9"/>
    <w:rsid w:val="008C1D72"/>
    <w:rPr>
      <w:rFonts w:asciiTheme="minorHAnsi" w:eastAsiaTheme="majorEastAsia" w:hAnsiTheme="minorHAnsi" w:cstheme="majorBidi"/>
      <w:color w:val="0F4761" w:themeColor="accent1" w:themeShade="BF"/>
      <w:kern w:val="0"/>
      <w:sz w:val="20"/>
      <w:szCs w:val="22"/>
      <w:lang w:val="de-AT"/>
      <w14:ligatures w14:val="none"/>
    </w:rPr>
  </w:style>
  <w:style w:type="character" w:customStyle="1" w:styleId="berschrift6Zchn">
    <w:name w:val="Überschrift 6 Zchn"/>
    <w:basedOn w:val="Absatz-Standardschriftart"/>
    <w:link w:val="berschrift6"/>
    <w:uiPriority w:val="9"/>
    <w:rsid w:val="008C1D72"/>
    <w:rPr>
      <w:rFonts w:asciiTheme="minorHAnsi" w:eastAsiaTheme="majorEastAsia" w:hAnsiTheme="minorHAnsi" w:cstheme="majorBidi"/>
      <w:i/>
      <w:iCs/>
      <w:color w:val="595959" w:themeColor="text1" w:themeTint="A6"/>
      <w:kern w:val="0"/>
      <w:sz w:val="20"/>
      <w:szCs w:val="22"/>
      <w:lang w:val="de-AT"/>
      <w14:ligatures w14:val="none"/>
    </w:rPr>
  </w:style>
  <w:style w:type="character" w:customStyle="1" w:styleId="berschrift7Zchn">
    <w:name w:val="Überschrift 7 Zchn"/>
    <w:basedOn w:val="Absatz-Standardschriftart"/>
    <w:link w:val="berschrift7"/>
    <w:uiPriority w:val="9"/>
    <w:semiHidden/>
    <w:rsid w:val="008C1D72"/>
    <w:rPr>
      <w:rFonts w:asciiTheme="minorHAnsi" w:eastAsiaTheme="majorEastAsia" w:hAnsiTheme="minorHAnsi" w:cstheme="majorBidi"/>
      <w:color w:val="595959" w:themeColor="text1" w:themeTint="A6"/>
      <w:kern w:val="0"/>
      <w:sz w:val="20"/>
      <w:szCs w:val="22"/>
      <w:lang w:val="de-AT"/>
      <w14:ligatures w14:val="none"/>
    </w:rPr>
  </w:style>
  <w:style w:type="character" w:customStyle="1" w:styleId="berschrift8Zchn">
    <w:name w:val="Überschrift 8 Zchn"/>
    <w:basedOn w:val="Absatz-Standardschriftart"/>
    <w:link w:val="berschrift8"/>
    <w:uiPriority w:val="9"/>
    <w:semiHidden/>
    <w:rsid w:val="008C1D72"/>
    <w:rPr>
      <w:rFonts w:asciiTheme="minorHAnsi" w:eastAsiaTheme="majorEastAsia" w:hAnsiTheme="minorHAnsi" w:cstheme="majorBidi"/>
      <w:i/>
      <w:iCs/>
      <w:color w:val="272727" w:themeColor="text1" w:themeTint="D8"/>
      <w:kern w:val="0"/>
      <w:sz w:val="20"/>
      <w:szCs w:val="22"/>
      <w:lang w:val="de-AT"/>
      <w14:ligatures w14:val="none"/>
    </w:rPr>
  </w:style>
  <w:style w:type="character" w:customStyle="1" w:styleId="berschrift9Zchn">
    <w:name w:val="Überschrift 9 Zchn"/>
    <w:basedOn w:val="Absatz-Standardschriftart"/>
    <w:link w:val="berschrift9"/>
    <w:uiPriority w:val="9"/>
    <w:semiHidden/>
    <w:rsid w:val="008C1D72"/>
    <w:rPr>
      <w:rFonts w:asciiTheme="minorHAnsi" w:eastAsiaTheme="majorEastAsia" w:hAnsiTheme="minorHAnsi" w:cstheme="majorBidi"/>
      <w:color w:val="272727" w:themeColor="text1" w:themeTint="D8"/>
      <w:kern w:val="0"/>
      <w:sz w:val="20"/>
      <w:szCs w:val="22"/>
      <w:lang w:val="de-AT"/>
      <w14:ligatures w14:val="none"/>
    </w:rPr>
  </w:style>
  <w:style w:type="paragraph" w:styleId="Titel">
    <w:name w:val="Title"/>
    <w:aliases w:val="Anhang"/>
    <w:basedOn w:val="Standard"/>
    <w:next w:val="Standard"/>
    <w:link w:val="TitelZchn"/>
    <w:uiPriority w:val="10"/>
    <w:qFormat/>
    <w:rsid w:val="00C65065"/>
    <w:pPr>
      <w:spacing w:after="80"/>
      <w:ind w:left="708"/>
      <w:contextualSpacing/>
    </w:pPr>
    <w:rPr>
      <w:rFonts w:eastAsiaTheme="majorEastAsia" w:cstheme="majorBidi"/>
      <w:b/>
      <w:spacing w:val="-10"/>
      <w:kern w:val="28"/>
      <w:szCs w:val="56"/>
    </w:rPr>
  </w:style>
  <w:style w:type="character" w:customStyle="1" w:styleId="TitelZchn">
    <w:name w:val="Titel Zchn"/>
    <w:aliases w:val="Anhang Zchn"/>
    <w:basedOn w:val="Absatz-Standardschriftart"/>
    <w:link w:val="Titel"/>
    <w:uiPriority w:val="10"/>
    <w:rsid w:val="00C65065"/>
    <w:rPr>
      <w:rFonts w:eastAsiaTheme="majorEastAsia" w:cstheme="majorBidi"/>
      <w:b/>
      <w:spacing w:val="-10"/>
      <w:kern w:val="28"/>
      <w:sz w:val="20"/>
      <w:szCs w:val="56"/>
      <w:lang w:val="de-AT"/>
      <w14:ligatures w14:val="none"/>
    </w:rPr>
  </w:style>
  <w:style w:type="paragraph" w:styleId="Untertitel">
    <w:name w:val="Subtitle"/>
    <w:basedOn w:val="Standard"/>
    <w:next w:val="Standard"/>
    <w:link w:val="UntertitelZchn"/>
    <w:uiPriority w:val="11"/>
    <w:qFormat/>
    <w:rsid w:val="008C1D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1D7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C1D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C1D72"/>
    <w:rPr>
      <w:i/>
      <w:iCs/>
      <w:color w:val="404040" w:themeColor="text1" w:themeTint="BF"/>
    </w:rPr>
  </w:style>
  <w:style w:type="paragraph" w:styleId="Listenabsatz">
    <w:name w:val="List Paragraph"/>
    <w:basedOn w:val="Standard"/>
    <w:uiPriority w:val="34"/>
    <w:qFormat/>
    <w:rsid w:val="008C1D72"/>
    <w:pPr>
      <w:ind w:left="720"/>
      <w:contextualSpacing/>
    </w:pPr>
  </w:style>
  <w:style w:type="character" w:styleId="IntensiveHervorhebung">
    <w:name w:val="Intense Emphasis"/>
    <w:basedOn w:val="Absatz-Standardschriftart"/>
    <w:uiPriority w:val="21"/>
    <w:qFormat/>
    <w:rsid w:val="008C1D72"/>
    <w:rPr>
      <w:i/>
      <w:iCs/>
      <w:color w:val="0F4761" w:themeColor="accent1" w:themeShade="BF"/>
    </w:rPr>
  </w:style>
  <w:style w:type="paragraph" w:styleId="IntensivesZitat">
    <w:name w:val="Intense Quote"/>
    <w:basedOn w:val="Standard"/>
    <w:next w:val="Standard"/>
    <w:link w:val="IntensivesZitatZchn"/>
    <w:uiPriority w:val="30"/>
    <w:qFormat/>
    <w:rsid w:val="008C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1D72"/>
    <w:rPr>
      <w:i/>
      <w:iCs/>
      <w:color w:val="0F4761" w:themeColor="accent1" w:themeShade="BF"/>
    </w:rPr>
  </w:style>
  <w:style w:type="character" w:styleId="IntensiverVerweis">
    <w:name w:val="Intense Reference"/>
    <w:basedOn w:val="Absatz-Standardschriftart"/>
    <w:uiPriority w:val="32"/>
    <w:qFormat/>
    <w:rsid w:val="008C1D72"/>
    <w:rPr>
      <w:b/>
      <w:bCs/>
      <w:smallCaps/>
      <w:color w:val="0F4761" w:themeColor="accent1" w:themeShade="BF"/>
      <w:spacing w:val="5"/>
    </w:rPr>
  </w:style>
  <w:style w:type="paragraph" w:styleId="Kopfzeile">
    <w:name w:val="header"/>
    <w:basedOn w:val="Standard"/>
    <w:link w:val="KopfzeileZchn"/>
    <w:uiPriority w:val="99"/>
    <w:unhideWhenUsed/>
    <w:rsid w:val="008C1D72"/>
    <w:pPr>
      <w:tabs>
        <w:tab w:val="center" w:pos="4536"/>
        <w:tab w:val="right" w:pos="9072"/>
      </w:tabs>
    </w:pPr>
  </w:style>
  <w:style w:type="character" w:customStyle="1" w:styleId="KopfzeileZchn">
    <w:name w:val="Kopfzeile Zchn"/>
    <w:basedOn w:val="Absatz-Standardschriftart"/>
    <w:link w:val="Kopfzeile"/>
    <w:uiPriority w:val="99"/>
    <w:rsid w:val="008C1D72"/>
  </w:style>
  <w:style w:type="paragraph" w:styleId="Fuzeile">
    <w:name w:val="footer"/>
    <w:basedOn w:val="Standard"/>
    <w:link w:val="FuzeileZchn"/>
    <w:uiPriority w:val="99"/>
    <w:unhideWhenUsed/>
    <w:rsid w:val="008C1D72"/>
    <w:pPr>
      <w:tabs>
        <w:tab w:val="center" w:pos="4536"/>
        <w:tab w:val="right" w:pos="9072"/>
      </w:tabs>
    </w:pPr>
  </w:style>
  <w:style w:type="character" w:customStyle="1" w:styleId="FuzeileZchn">
    <w:name w:val="Fußzeile Zchn"/>
    <w:basedOn w:val="Absatz-Standardschriftart"/>
    <w:link w:val="Fuzeile"/>
    <w:uiPriority w:val="99"/>
    <w:rsid w:val="008C1D72"/>
  </w:style>
  <w:style w:type="table" w:styleId="Tabellenraster">
    <w:name w:val="Table Grid"/>
    <w:basedOn w:val="NormaleTabelle"/>
    <w:uiPriority w:val="59"/>
    <w:rsid w:val="008C1D72"/>
    <w:rPr>
      <w:rFonts w:asciiTheme="minorHAnsi" w:hAnsiTheme="minorHAnsi"/>
      <w:kern w:val="0"/>
      <w:sz w:val="22"/>
      <w:szCs w:val="22"/>
      <w:lang w:val="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10F9D"/>
    <w:pPr>
      <w:numPr>
        <w:numId w:val="0"/>
      </w:numPr>
      <w:spacing w:before="240" w:after="0" w:line="259" w:lineRule="auto"/>
      <w:outlineLvl w:val="9"/>
    </w:pPr>
    <w:rPr>
      <w:rFonts w:asciiTheme="majorHAnsi" w:hAnsiTheme="majorHAnsi"/>
      <w:b w:val="0"/>
      <w:color w:val="0F4761" w:themeColor="accent1" w:themeShade="BF"/>
      <w:kern w:val="0"/>
      <w:sz w:val="32"/>
      <w:szCs w:val="32"/>
      <w:lang w:eastAsia="de-DE"/>
      <w14:ligatures w14:val="none"/>
    </w:rPr>
  </w:style>
  <w:style w:type="paragraph" w:styleId="Verzeichnis2">
    <w:name w:val="toc 2"/>
    <w:basedOn w:val="Standard"/>
    <w:next w:val="Standard"/>
    <w:autoRedefine/>
    <w:uiPriority w:val="39"/>
    <w:unhideWhenUsed/>
    <w:rsid w:val="00C40FD8"/>
    <w:pPr>
      <w:tabs>
        <w:tab w:val="left" w:pos="960"/>
        <w:tab w:val="right" w:leader="dot" w:pos="10365"/>
      </w:tabs>
      <w:spacing w:after="100" w:line="259" w:lineRule="auto"/>
      <w:ind w:left="220"/>
      <w:jc w:val="right"/>
    </w:pPr>
    <w:rPr>
      <w:rFonts w:asciiTheme="minorHAnsi" w:eastAsiaTheme="minorEastAsia" w:hAnsiTheme="minorHAnsi" w:cs="Times New Roman"/>
      <w:sz w:val="22"/>
      <w:lang w:val="de-DE" w:eastAsia="de-DE"/>
    </w:rPr>
  </w:style>
  <w:style w:type="paragraph" w:styleId="Verzeichnis1">
    <w:name w:val="toc 1"/>
    <w:basedOn w:val="Standard"/>
    <w:next w:val="Standard"/>
    <w:autoRedefine/>
    <w:uiPriority w:val="39"/>
    <w:unhideWhenUsed/>
    <w:rsid w:val="006901BD"/>
    <w:pPr>
      <w:tabs>
        <w:tab w:val="left" w:pos="440"/>
        <w:tab w:val="right" w:leader="dot" w:pos="10365"/>
      </w:tabs>
      <w:spacing w:after="100" w:line="259" w:lineRule="auto"/>
    </w:pPr>
    <w:rPr>
      <w:rFonts w:eastAsia="Century Gothic" w:cs="Century Gothic"/>
      <w:noProof/>
      <w:szCs w:val="20"/>
      <w:lang w:eastAsia="de-DE"/>
    </w:rPr>
  </w:style>
  <w:style w:type="paragraph" w:styleId="Verzeichnis3">
    <w:name w:val="toc 3"/>
    <w:basedOn w:val="Standard"/>
    <w:next w:val="Standard"/>
    <w:autoRedefine/>
    <w:uiPriority w:val="39"/>
    <w:unhideWhenUsed/>
    <w:rsid w:val="00E10F9D"/>
    <w:pPr>
      <w:spacing w:after="100" w:line="259" w:lineRule="auto"/>
      <w:ind w:left="440"/>
    </w:pPr>
    <w:rPr>
      <w:rFonts w:asciiTheme="minorHAnsi" w:eastAsiaTheme="minorEastAsia" w:hAnsiTheme="minorHAnsi" w:cs="Times New Roman"/>
      <w:sz w:val="22"/>
      <w:lang w:val="de-DE" w:eastAsia="de-DE"/>
    </w:rPr>
  </w:style>
  <w:style w:type="character" w:styleId="Hyperlink">
    <w:name w:val="Hyperlink"/>
    <w:basedOn w:val="Absatz-Standardschriftart"/>
    <w:uiPriority w:val="99"/>
    <w:unhideWhenUsed/>
    <w:rsid w:val="00E10F9D"/>
    <w:rPr>
      <w:color w:val="467886" w:themeColor="hyperlink"/>
      <w:u w:val="single"/>
    </w:rPr>
  </w:style>
  <w:style w:type="paragraph" w:styleId="KeinLeerraum">
    <w:name w:val="No Spacing"/>
    <w:uiPriority w:val="1"/>
    <w:qFormat/>
    <w:rsid w:val="009934F9"/>
    <w:pPr>
      <w:jc w:val="both"/>
    </w:pPr>
    <w:rPr>
      <w:kern w:val="0"/>
      <w:sz w:val="20"/>
      <w:szCs w:val="22"/>
      <w:lang w:val="de-AT"/>
      <w14:ligatures w14:val="none"/>
    </w:rPr>
  </w:style>
  <w:style w:type="paragraph" w:customStyle="1" w:styleId="AufzhlungAngebot">
    <w:name w:val="Aufzählung Angebot"/>
    <w:basedOn w:val="Fuzeile"/>
    <w:link w:val="AufzhlungAngebotZchn"/>
    <w:qFormat/>
    <w:rsid w:val="002A1047"/>
    <w:pPr>
      <w:numPr>
        <w:numId w:val="2"/>
      </w:numPr>
      <w:tabs>
        <w:tab w:val="clear" w:pos="4536"/>
        <w:tab w:val="left" w:pos="5812"/>
        <w:tab w:val="left" w:pos="6663"/>
      </w:tabs>
      <w:spacing w:before="360" w:after="240" w:line="276" w:lineRule="auto"/>
      <w:jc w:val="left"/>
    </w:pPr>
    <w:rPr>
      <w:rFonts w:eastAsiaTheme="minorEastAsia"/>
      <w:color w:val="0070C0"/>
      <w:sz w:val="28"/>
      <w:szCs w:val="24"/>
      <w:lang w:val="en-US"/>
    </w:rPr>
  </w:style>
  <w:style w:type="character" w:customStyle="1" w:styleId="AufzhlungAngebotZchn">
    <w:name w:val="Aufzählung Angebot Zchn"/>
    <w:basedOn w:val="FuzeileZchn"/>
    <w:link w:val="AufzhlungAngebot"/>
    <w:rsid w:val="002A1047"/>
    <w:rPr>
      <w:rFonts w:eastAsiaTheme="minorEastAsia"/>
      <w:color w:val="0070C0"/>
      <w:kern w:val="0"/>
      <w:sz w:val="28"/>
      <w:lang w:val="en-US"/>
      <w14:ligatures w14:val="none"/>
    </w:rPr>
  </w:style>
  <w:style w:type="character" w:styleId="Fett">
    <w:name w:val="Strong"/>
    <w:basedOn w:val="Absatz-Standardschriftart"/>
    <w:uiPriority w:val="22"/>
    <w:qFormat/>
    <w:rsid w:val="00D61157"/>
    <w:rPr>
      <w:b/>
      <w:bCs/>
    </w:rPr>
  </w:style>
  <w:style w:type="paragraph" w:styleId="StandardWeb">
    <w:name w:val="Normal (Web)"/>
    <w:basedOn w:val="Standard"/>
    <w:uiPriority w:val="99"/>
    <w:unhideWhenUsed/>
    <w:rsid w:val="00D61157"/>
    <w:pPr>
      <w:spacing w:before="100" w:beforeAutospacing="1" w:after="100" w:afterAutospacing="1"/>
      <w:jc w:val="left"/>
    </w:pPr>
    <w:rPr>
      <w:rFonts w:ascii="Times New Roman" w:eastAsia="Times New Roman" w:hAnsi="Times New Roman" w:cs="Times New Roman"/>
      <w:sz w:val="24"/>
      <w:szCs w:val="24"/>
      <w:lang w:val="de-DE" w:eastAsia="de-DE"/>
    </w:rPr>
  </w:style>
  <w:style w:type="paragraph" w:customStyle="1" w:styleId="isselectedend">
    <w:name w:val="isselectedend"/>
    <w:basedOn w:val="Standard"/>
    <w:rsid w:val="00827C68"/>
    <w:pPr>
      <w:spacing w:before="100" w:beforeAutospacing="1" w:after="100" w:afterAutospacing="1"/>
      <w:jc w:val="left"/>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7c78-0b5d-4b35-8916-309710e0f8ae" xsi:nil="true"/>
    <lcf76f155ced4ddcb4097134ff3c332f xmlns="adbe1e5b-c2f2-4186-95d1-ad3cc839ae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A94CADA3D66C48B311F7AAD7DAA713" ma:contentTypeVersion="19" ma:contentTypeDescription="Ein neues Dokument erstellen." ma:contentTypeScope="" ma:versionID="66546274bebebda776fa831cad3f43a1">
  <xsd:schema xmlns:xsd="http://www.w3.org/2001/XMLSchema" xmlns:xs="http://www.w3.org/2001/XMLSchema" xmlns:p="http://schemas.microsoft.com/office/2006/metadata/properties" xmlns:ns2="adbe1e5b-c2f2-4186-95d1-ad3cc839aeac" xmlns:ns3="2a9ec8e5-3226-4db5-b8cb-589b16e5b1c7" xmlns:ns4="4a9c7c78-0b5d-4b35-8916-309710e0f8ae" targetNamespace="http://schemas.microsoft.com/office/2006/metadata/properties" ma:root="true" ma:fieldsID="03ea6ae624e898231f8349e045d25327" ns2:_="" ns3:_="" ns4:_="">
    <xsd:import namespace="adbe1e5b-c2f2-4186-95d1-ad3cc839aeac"/>
    <xsd:import namespace="2a9ec8e5-3226-4db5-b8cb-589b16e5b1c7"/>
    <xsd:import namespace="4a9c7c78-0b5d-4b35-8916-309710e0f8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1e5b-c2f2-4186-95d1-ad3cc839a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e6ad84b-74ec-4876-8a60-38c5fd9ff8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9ec8e5-3226-4db5-b8cb-589b16e5b1c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9c7c78-0b5d-4b35-8916-309710e0f8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fe470ed-6aa1-4ed2-b215-8392136dcdcd}" ma:internalName="TaxCatchAll" ma:showField="CatchAllData" ma:web="2a9ec8e5-3226-4db5-b8cb-589b16e5b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89EDA-1C8D-4A07-9F3B-5CF7175A8178}">
  <ds:schemaRefs>
    <ds:schemaRef ds:uri="http://schemas.microsoft.com/office/2006/metadata/properties"/>
    <ds:schemaRef ds:uri="http://schemas.microsoft.com/office/infopath/2007/PartnerControls"/>
    <ds:schemaRef ds:uri="4a9c7c78-0b5d-4b35-8916-309710e0f8ae"/>
    <ds:schemaRef ds:uri="adbe1e5b-c2f2-4186-95d1-ad3cc839aeac"/>
  </ds:schemaRefs>
</ds:datastoreItem>
</file>

<file path=customXml/itemProps2.xml><?xml version="1.0" encoding="utf-8"?>
<ds:datastoreItem xmlns:ds="http://schemas.openxmlformats.org/officeDocument/2006/customXml" ds:itemID="{AD76A318-5F79-4E1A-A5B6-CA94F3434B39}">
  <ds:schemaRefs>
    <ds:schemaRef ds:uri="http://schemas.microsoft.com/sharepoint/v3/contenttype/forms"/>
  </ds:schemaRefs>
</ds:datastoreItem>
</file>

<file path=customXml/itemProps3.xml><?xml version="1.0" encoding="utf-8"?>
<ds:datastoreItem xmlns:ds="http://schemas.openxmlformats.org/officeDocument/2006/customXml" ds:itemID="{6971F720-9E36-48C0-A649-C7727F238D21}">
  <ds:schemaRefs>
    <ds:schemaRef ds:uri="http://schemas.openxmlformats.org/officeDocument/2006/bibliography"/>
  </ds:schemaRefs>
</ds:datastoreItem>
</file>

<file path=customXml/itemProps4.xml><?xml version="1.0" encoding="utf-8"?>
<ds:datastoreItem xmlns:ds="http://schemas.openxmlformats.org/officeDocument/2006/customXml" ds:itemID="{12552F12-5083-442A-B252-E45420045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1e5b-c2f2-4186-95d1-ad3cc839aeac"/>
    <ds:schemaRef ds:uri="2a9ec8e5-3226-4db5-b8cb-589b16e5b1c7"/>
    <ds:schemaRef ds:uri="4a9c7c78-0b5d-4b35-8916-309710e0f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2652</Words>
  <Characters>16711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SMB</Company>
  <LinksUpToDate>false</LinksUpToDate>
  <CharactersWithSpaces>19325</CharactersWithSpaces>
  <SharedDoc>false</SharedDoc>
  <HLinks>
    <vt:vector size="54" baseType="variant">
      <vt:variant>
        <vt:i4>1376319</vt:i4>
      </vt:variant>
      <vt:variant>
        <vt:i4>50</vt:i4>
      </vt:variant>
      <vt:variant>
        <vt:i4>0</vt:i4>
      </vt:variant>
      <vt:variant>
        <vt:i4>5</vt:i4>
      </vt:variant>
      <vt:variant>
        <vt:lpwstr/>
      </vt:variant>
      <vt:variant>
        <vt:lpwstr>_Toc220496424</vt:lpwstr>
      </vt:variant>
      <vt:variant>
        <vt:i4>1376319</vt:i4>
      </vt:variant>
      <vt:variant>
        <vt:i4>44</vt:i4>
      </vt:variant>
      <vt:variant>
        <vt:i4>0</vt:i4>
      </vt:variant>
      <vt:variant>
        <vt:i4>5</vt:i4>
      </vt:variant>
      <vt:variant>
        <vt:lpwstr/>
      </vt:variant>
      <vt:variant>
        <vt:lpwstr>_Toc220496423</vt:lpwstr>
      </vt:variant>
      <vt:variant>
        <vt:i4>1376319</vt:i4>
      </vt:variant>
      <vt:variant>
        <vt:i4>38</vt:i4>
      </vt:variant>
      <vt:variant>
        <vt:i4>0</vt:i4>
      </vt:variant>
      <vt:variant>
        <vt:i4>5</vt:i4>
      </vt:variant>
      <vt:variant>
        <vt:lpwstr/>
      </vt:variant>
      <vt:variant>
        <vt:lpwstr>_Toc220496422</vt:lpwstr>
      </vt:variant>
      <vt:variant>
        <vt:i4>1376319</vt:i4>
      </vt:variant>
      <vt:variant>
        <vt:i4>32</vt:i4>
      </vt:variant>
      <vt:variant>
        <vt:i4>0</vt:i4>
      </vt:variant>
      <vt:variant>
        <vt:i4>5</vt:i4>
      </vt:variant>
      <vt:variant>
        <vt:lpwstr/>
      </vt:variant>
      <vt:variant>
        <vt:lpwstr>_Toc220496421</vt:lpwstr>
      </vt:variant>
      <vt:variant>
        <vt:i4>1376319</vt:i4>
      </vt:variant>
      <vt:variant>
        <vt:i4>26</vt:i4>
      </vt:variant>
      <vt:variant>
        <vt:i4>0</vt:i4>
      </vt:variant>
      <vt:variant>
        <vt:i4>5</vt:i4>
      </vt:variant>
      <vt:variant>
        <vt:lpwstr/>
      </vt:variant>
      <vt:variant>
        <vt:lpwstr>_Toc220496420</vt:lpwstr>
      </vt:variant>
      <vt:variant>
        <vt:i4>1441855</vt:i4>
      </vt:variant>
      <vt:variant>
        <vt:i4>20</vt:i4>
      </vt:variant>
      <vt:variant>
        <vt:i4>0</vt:i4>
      </vt:variant>
      <vt:variant>
        <vt:i4>5</vt:i4>
      </vt:variant>
      <vt:variant>
        <vt:lpwstr/>
      </vt:variant>
      <vt:variant>
        <vt:lpwstr>_Toc220496419</vt:lpwstr>
      </vt:variant>
      <vt:variant>
        <vt:i4>1441855</vt:i4>
      </vt:variant>
      <vt:variant>
        <vt:i4>14</vt:i4>
      </vt:variant>
      <vt:variant>
        <vt:i4>0</vt:i4>
      </vt:variant>
      <vt:variant>
        <vt:i4>5</vt:i4>
      </vt:variant>
      <vt:variant>
        <vt:lpwstr/>
      </vt:variant>
      <vt:variant>
        <vt:lpwstr>_Toc220496418</vt:lpwstr>
      </vt:variant>
      <vt:variant>
        <vt:i4>1441855</vt:i4>
      </vt:variant>
      <vt:variant>
        <vt:i4>8</vt:i4>
      </vt:variant>
      <vt:variant>
        <vt:i4>0</vt:i4>
      </vt:variant>
      <vt:variant>
        <vt:i4>5</vt:i4>
      </vt:variant>
      <vt:variant>
        <vt:lpwstr/>
      </vt:variant>
      <vt:variant>
        <vt:lpwstr>_Toc220496417</vt:lpwstr>
      </vt:variant>
      <vt:variant>
        <vt:i4>1441855</vt:i4>
      </vt:variant>
      <vt:variant>
        <vt:i4>2</vt:i4>
      </vt:variant>
      <vt:variant>
        <vt:i4>0</vt:i4>
      </vt:variant>
      <vt:variant>
        <vt:i4>5</vt:i4>
      </vt:variant>
      <vt:variant>
        <vt:lpwstr/>
      </vt:variant>
      <vt:variant>
        <vt:lpwstr>_Toc220496416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Juergen Josl</cp:lastModifiedBy>
  <cp:revision>18</cp:revision>
  <cp:lastPrinted>2024-07-17T10:59:00Z</cp:lastPrinted>
  <dcterms:created xsi:type="dcterms:W3CDTF">2026-05-07T10:53:00Z</dcterms:created>
  <dcterms:modified xsi:type="dcterms:W3CDTF">2026-05-13T13:41:00Z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0x0101003EA94CADA3D66C48B311F7AAD7DAA713</vt:lpwstr>
  </property>
  <property fmtid="{D5CDD505-2E9C-101B-9397-08002B2CF9AE}" pid="3" name="MediaServiceImageTags">
    <vt:lpwstr/>
  </property>
  <property fmtid="{D5CDD505-2E9C-101B-9397-08002B2CF9AE}" pid="4" name="Auftragnehmer0">
    <vt:lpwstr/>
  </property>
  <property fmtid="{D5CDD505-2E9C-101B-9397-08002B2CF9AE}" pid="5" name="Bereich">
    <vt:lpwstr>48;#SMR|ed67190b-6980-4ac5-b433-622db59a0eec</vt:lpwstr>
  </property>
  <property fmtid="{D5CDD505-2E9C-101B-9397-08002B2CF9AE}" pid="6" name="Sprache">
    <vt:lpwstr>8;#Deutsch|8f75b0f6-add1-433d-aadc-aa2110dbc7f7</vt:lpwstr>
  </property>
  <property fmtid="{D5CDD505-2E9C-101B-9397-08002B2CF9AE}" pid="7" name="Gruppe">
    <vt:lpwstr/>
  </property>
</Properties>
</file>